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FBE104" w14:textId="41995711" w:rsidR="008F141C" w:rsidRDefault="004B5EA1" w:rsidP="004B5EA1">
      <w:pPr>
        <w:spacing w:after="0"/>
        <w:jc w:val="center"/>
        <w:rPr>
          <w:rFonts w:cs="David"/>
          <w:b/>
          <w:bCs/>
          <w:sz w:val="40"/>
          <w:szCs w:val="40"/>
          <w:u w:val="single"/>
          <w:rtl/>
        </w:rPr>
      </w:pPr>
      <w:r>
        <w:rPr>
          <w:noProof/>
        </w:rPr>
        <w:drawing>
          <wp:inline distT="0" distB="0" distL="0" distR="0" wp14:anchorId="32ADF64D" wp14:editId="56CEBA9E">
            <wp:extent cx="533400" cy="845185"/>
            <wp:effectExtent l="0" t="0" r="0" b="0"/>
            <wp:docPr id="2" name="תמונה 2" descr="cid:image003.png@01CE8612.6B34F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cid:image003.png@01CE8612.6B34F89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33400" cy="845185"/>
                    </a:xfrm>
                    <a:prstGeom prst="rect">
                      <a:avLst/>
                    </a:prstGeom>
                    <a:noFill/>
                    <a:ln>
                      <a:noFill/>
                    </a:ln>
                  </pic:spPr>
                </pic:pic>
              </a:graphicData>
            </a:graphic>
          </wp:inline>
        </w:drawing>
      </w:r>
    </w:p>
    <w:p w14:paraId="3E7D8ABD" w14:textId="77777777" w:rsidR="006C03EF" w:rsidRDefault="006C03EF" w:rsidP="009D78E7">
      <w:pPr>
        <w:pStyle w:val="Heading1"/>
        <w:rPr>
          <w:rtl/>
        </w:rPr>
      </w:pPr>
    </w:p>
    <w:p w14:paraId="08563E8C" w14:textId="29EFBAF0" w:rsidR="00D33A4E" w:rsidRDefault="00EC6685" w:rsidP="00D33A4E">
      <w:pPr>
        <w:pStyle w:val="Heading1"/>
        <w:spacing w:after="120"/>
        <w:rPr>
          <w:rtl/>
        </w:rPr>
      </w:pPr>
      <w:r w:rsidRPr="009D78E7">
        <w:rPr>
          <w:rFonts w:hint="cs"/>
          <w:rtl/>
        </w:rPr>
        <w:t xml:space="preserve">גילוי דעת </w:t>
      </w:r>
      <w:r w:rsidR="00DE5560">
        <w:rPr>
          <w:rFonts w:hint="cs"/>
          <w:rtl/>
        </w:rPr>
        <w:t>1/18</w:t>
      </w:r>
    </w:p>
    <w:p w14:paraId="6CE351B7" w14:textId="77777777" w:rsidR="00D33A4E" w:rsidRPr="00D33A4E" w:rsidRDefault="00D33A4E" w:rsidP="00D33A4E">
      <w:pPr>
        <w:rPr>
          <w:rtl/>
        </w:rPr>
      </w:pPr>
    </w:p>
    <w:p w14:paraId="26EF57F6" w14:textId="78CA6A20" w:rsidR="00EC6685" w:rsidRPr="004546D2" w:rsidRDefault="00EC6685" w:rsidP="004546D2">
      <w:pPr>
        <w:pStyle w:val="Title"/>
        <w:jc w:val="center"/>
        <w:rPr>
          <w:rFonts w:cs="David"/>
          <w:b/>
          <w:bCs/>
          <w:color w:val="000000" w:themeColor="text1"/>
          <w:sz w:val="40"/>
          <w:szCs w:val="40"/>
          <w:rtl/>
        </w:rPr>
      </w:pPr>
      <w:r w:rsidRPr="004546D2">
        <w:rPr>
          <w:rFonts w:cs="David" w:hint="cs"/>
          <w:b/>
          <w:bCs/>
          <w:color w:val="000000" w:themeColor="text1"/>
          <w:sz w:val="40"/>
          <w:szCs w:val="40"/>
          <w:rtl/>
        </w:rPr>
        <w:t>בעניין פרשנות סעיף 14(א)(2)</w:t>
      </w:r>
      <w:r w:rsidR="007815F8" w:rsidRPr="004546D2">
        <w:rPr>
          <w:rFonts w:cs="David" w:hint="cs"/>
          <w:b/>
          <w:bCs/>
          <w:color w:val="000000" w:themeColor="text1"/>
          <w:sz w:val="40"/>
          <w:szCs w:val="40"/>
          <w:rtl/>
        </w:rPr>
        <w:t xml:space="preserve"> וסעיף 15א(א)(2)</w:t>
      </w:r>
    </w:p>
    <w:p w14:paraId="66F5D441" w14:textId="6545FD9C" w:rsidR="00D33A4E" w:rsidRPr="004546D2" w:rsidRDefault="00EC6685" w:rsidP="004546D2">
      <w:pPr>
        <w:pStyle w:val="Title"/>
        <w:jc w:val="center"/>
        <w:rPr>
          <w:rFonts w:cs="David"/>
          <w:b/>
          <w:bCs/>
          <w:color w:val="000000" w:themeColor="text1"/>
          <w:sz w:val="40"/>
          <w:szCs w:val="40"/>
          <w:rtl/>
        </w:rPr>
      </w:pPr>
      <w:r w:rsidRPr="004546D2">
        <w:rPr>
          <w:rFonts w:cs="David" w:hint="cs"/>
          <w:b/>
          <w:bCs/>
          <w:color w:val="000000" w:themeColor="text1"/>
          <w:sz w:val="40"/>
          <w:szCs w:val="40"/>
          <w:rtl/>
        </w:rPr>
        <w:t xml:space="preserve">לחוק ההגבלים </w:t>
      </w:r>
      <w:r w:rsidR="00E34E88" w:rsidRPr="004546D2">
        <w:rPr>
          <w:rFonts w:cs="David" w:hint="cs"/>
          <w:b/>
          <w:bCs/>
          <w:color w:val="000000" w:themeColor="text1"/>
          <w:sz w:val="40"/>
          <w:szCs w:val="40"/>
          <w:rtl/>
        </w:rPr>
        <w:t>ה</w:t>
      </w:r>
      <w:r w:rsidRPr="004546D2">
        <w:rPr>
          <w:rFonts w:cs="David" w:hint="cs"/>
          <w:b/>
          <w:bCs/>
          <w:color w:val="000000" w:themeColor="text1"/>
          <w:sz w:val="40"/>
          <w:szCs w:val="40"/>
          <w:rtl/>
        </w:rPr>
        <w:t>עסקיים, תשמ"ח-1988</w:t>
      </w:r>
    </w:p>
    <w:p w14:paraId="470E38E1" w14:textId="7753DA97" w:rsidR="00EC6685" w:rsidRPr="004546D2" w:rsidRDefault="00A654AE" w:rsidP="004546D2">
      <w:pPr>
        <w:pStyle w:val="Title"/>
        <w:jc w:val="center"/>
        <w:rPr>
          <w:rFonts w:cs="David"/>
          <w:b/>
          <w:bCs/>
          <w:color w:val="000000" w:themeColor="text1"/>
          <w:sz w:val="40"/>
          <w:szCs w:val="40"/>
          <w:rtl/>
        </w:rPr>
      </w:pPr>
      <w:r w:rsidRPr="004546D2">
        <w:rPr>
          <w:rFonts w:cs="David" w:hint="cs"/>
          <w:b/>
          <w:bCs/>
          <w:color w:val="000000" w:themeColor="text1"/>
          <w:sz w:val="40"/>
          <w:szCs w:val="40"/>
          <w:rtl/>
        </w:rPr>
        <w:t>וסעיפים מקבילים בכללי פטור סוג</w:t>
      </w:r>
    </w:p>
    <w:p w14:paraId="71B8E5F2" w14:textId="240E2401" w:rsidR="00C36E66" w:rsidRDefault="00C36E66" w:rsidP="00C36E66">
      <w:pPr>
        <w:rPr>
          <w:rtl/>
        </w:rPr>
      </w:pPr>
    </w:p>
    <w:p w14:paraId="78576A71" w14:textId="28BAE7BA" w:rsidR="00EC6685" w:rsidRPr="009D78E7" w:rsidRDefault="00EC6685" w:rsidP="009D78E7">
      <w:pPr>
        <w:pStyle w:val="Heading2"/>
        <w:rPr>
          <w:rtl/>
        </w:rPr>
      </w:pPr>
      <w:r w:rsidRPr="009D78E7">
        <w:rPr>
          <w:rFonts w:hint="cs"/>
          <w:rtl/>
        </w:rPr>
        <w:t>מבוא</w:t>
      </w:r>
    </w:p>
    <w:p w14:paraId="4C9B5A1A" w14:textId="77777777" w:rsidR="0007618C" w:rsidRDefault="00DC76A2" w:rsidP="00706BC9">
      <w:pPr>
        <w:spacing w:before="240" w:after="0" w:line="360" w:lineRule="auto"/>
        <w:jc w:val="both"/>
        <w:rPr>
          <w:rFonts w:cs="David"/>
          <w:sz w:val="24"/>
          <w:szCs w:val="24"/>
          <w:rtl/>
        </w:rPr>
      </w:pPr>
      <w:r>
        <w:rPr>
          <w:rFonts w:cs="David" w:hint="cs"/>
          <w:sz w:val="24"/>
          <w:szCs w:val="24"/>
          <w:rtl/>
        </w:rPr>
        <w:t xml:space="preserve">סעיף 14 לחוק ההגבלים העסקיים, תשמ"ח-1988 (להלן: </w:t>
      </w:r>
      <w:r>
        <w:rPr>
          <w:rFonts w:cs="David" w:hint="cs"/>
          <w:b/>
          <w:bCs/>
          <w:sz w:val="24"/>
          <w:szCs w:val="24"/>
          <w:rtl/>
        </w:rPr>
        <w:t>"החוק"</w:t>
      </w:r>
      <w:r>
        <w:rPr>
          <w:rFonts w:cs="David" w:hint="cs"/>
          <w:sz w:val="24"/>
          <w:szCs w:val="24"/>
          <w:rtl/>
        </w:rPr>
        <w:t xml:space="preserve">) </w:t>
      </w:r>
      <w:r w:rsidR="0007618C">
        <w:rPr>
          <w:rFonts w:cs="David" w:hint="cs"/>
          <w:sz w:val="24"/>
          <w:szCs w:val="24"/>
          <w:rtl/>
        </w:rPr>
        <w:t xml:space="preserve">מסמיך את הממונה </w:t>
      </w:r>
      <w:r>
        <w:rPr>
          <w:rFonts w:cs="David" w:hint="cs"/>
          <w:sz w:val="24"/>
          <w:szCs w:val="24"/>
          <w:rtl/>
        </w:rPr>
        <w:t>על הגבלים עסקיים לפטור את הצדדים להסדר כובל מהחובה לקבל את אישורו של בית-הדין להסדר</w:t>
      </w:r>
      <w:r w:rsidR="0007618C">
        <w:rPr>
          <w:rFonts w:cs="David" w:hint="cs"/>
          <w:sz w:val="24"/>
          <w:szCs w:val="24"/>
          <w:rtl/>
        </w:rPr>
        <w:t xml:space="preserve">, בהתקיים תנאים מסוימים. אחד התנאים למתן פטור נקבע </w:t>
      </w:r>
      <w:proofErr w:type="spellStart"/>
      <w:r w:rsidR="0007618C">
        <w:rPr>
          <w:rFonts w:cs="David" w:hint="cs"/>
          <w:sz w:val="24"/>
          <w:szCs w:val="24"/>
          <w:rtl/>
        </w:rPr>
        <w:t>בסע</w:t>
      </w:r>
      <w:proofErr w:type="spellEnd"/>
      <w:r w:rsidR="0007618C">
        <w:rPr>
          <w:rFonts w:cs="David" w:hint="cs"/>
          <w:sz w:val="24"/>
          <w:szCs w:val="24"/>
          <w:rtl/>
        </w:rPr>
        <w:t>' 14(א)(2), בזו הלשון:</w:t>
      </w:r>
    </w:p>
    <w:p w14:paraId="7EDC6465" w14:textId="77777777" w:rsidR="0007618C" w:rsidRPr="009557D4" w:rsidRDefault="0007618C" w:rsidP="009557D4">
      <w:pPr>
        <w:pStyle w:val="Quote"/>
        <w:rPr>
          <w:rtl/>
        </w:rPr>
      </w:pPr>
      <w:r w:rsidRPr="009557D4">
        <w:rPr>
          <w:rFonts w:hint="cs"/>
          <w:rtl/>
        </w:rPr>
        <w:t>עיקרו של ההסדר הכובל אינו בהפחתת התחרות או במניעתה, ואין בו כבילות שאינן נחוצות למימוש עיקרו.</w:t>
      </w:r>
    </w:p>
    <w:p w14:paraId="59459A72" w14:textId="342C2E6C" w:rsidR="007815F8" w:rsidRDefault="0007618C" w:rsidP="00735F74">
      <w:pPr>
        <w:spacing w:before="240" w:after="0" w:line="360" w:lineRule="auto"/>
        <w:jc w:val="both"/>
        <w:rPr>
          <w:rFonts w:cs="David"/>
          <w:sz w:val="24"/>
          <w:szCs w:val="24"/>
          <w:rtl/>
        </w:rPr>
      </w:pPr>
      <w:r>
        <w:rPr>
          <w:rFonts w:cs="David" w:hint="cs"/>
          <w:sz w:val="24"/>
          <w:szCs w:val="24"/>
          <w:rtl/>
        </w:rPr>
        <w:t>הורא</w:t>
      </w:r>
      <w:r w:rsidR="00510312">
        <w:rPr>
          <w:rFonts w:cs="David" w:hint="cs"/>
          <w:sz w:val="24"/>
          <w:szCs w:val="24"/>
          <w:rtl/>
        </w:rPr>
        <w:t>ה</w:t>
      </w:r>
      <w:r>
        <w:rPr>
          <w:rFonts w:cs="David" w:hint="cs"/>
          <w:sz w:val="24"/>
          <w:szCs w:val="24"/>
          <w:rtl/>
        </w:rPr>
        <w:t xml:space="preserve"> דומ</w:t>
      </w:r>
      <w:r w:rsidR="00510312">
        <w:rPr>
          <w:rFonts w:cs="David" w:hint="cs"/>
          <w:sz w:val="24"/>
          <w:szCs w:val="24"/>
          <w:rtl/>
        </w:rPr>
        <w:t>ה</w:t>
      </w:r>
      <w:r>
        <w:rPr>
          <w:rFonts w:cs="David" w:hint="cs"/>
          <w:sz w:val="24"/>
          <w:szCs w:val="24"/>
          <w:rtl/>
        </w:rPr>
        <w:t xml:space="preserve"> מופיע</w:t>
      </w:r>
      <w:r w:rsidR="00510312">
        <w:rPr>
          <w:rFonts w:cs="David" w:hint="cs"/>
          <w:sz w:val="24"/>
          <w:szCs w:val="24"/>
          <w:rtl/>
        </w:rPr>
        <w:t>ה</w:t>
      </w:r>
      <w:r>
        <w:rPr>
          <w:rFonts w:cs="David" w:hint="cs"/>
          <w:sz w:val="24"/>
          <w:szCs w:val="24"/>
          <w:rtl/>
        </w:rPr>
        <w:t xml:space="preserve"> </w:t>
      </w:r>
      <w:proofErr w:type="spellStart"/>
      <w:r>
        <w:rPr>
          <w:rFonts w:cs="David" w:hint="cs"/>
          <w:sz w:val="24"/>
          <w:szCs w:val="24"/>
          <w:rtl/>
        </w:rPr>
        <w:t>בסע</w:t>
      </w:r>
      <w:proofErr w:type="spellEnd"/>
      <w:r>
        <w:rPr>
          <w:rFonts w:cs="David" w:hint="cs"/>
          <w:sz w:val="24"/>
          <w:szCs w:val="24"/>
          <w:rtl/>
        </w:rPr>
        <w:t xml:space="preserve">' 15א(א)(2) </w:t>
      </w:r>
      <w:r w:rsidR="00510312">
        <w:rPr>
          <w:rFonts w:cs="David" w:hint="cs"/>
          <w:sz w:val="24"/>
          <w:szCs w:val="24"/>
          <w:rtl/>
        </w:rPr>
        <w:t xml:space="preserve">כתנאי לסמכות הממונה לקבוע </w:t>
      </w:r>
      <w:r w:rsidR="00735F74">
        <w:rPr>
          <w:rFonts w:cs="David" w:hint="cs"/>
          <w:sz w:val="24"/>
          <w:szCs w:val="24"/>
          <w:rtl/>
        </w:rPr>
        <w:t xml:space="preserve">כללי </w:t>
      </w:r>
      <w:r w:rsidR="00510312">
        <w:rPr>
          <w:rFonts w:cs="David" w:hint="cs"/>
          <w:sz w:val="24"/>
          <w:szCs w:val="24"/>
          <w:rtl/>
        </w:rPr>
        <w:t>פטור סוג</w:t>
      </w:r>
      <w:r w:rsidR="007815F8">
        <w:rPr>
          <w:rFonts w:cs="David" w:hint="cs"/>
          <w:sz w:val="24"/>
          <w:szCs w:val="24"/>
          <w:rtl/>
        </w:rPr>
        <w:t>:</w:t>
      </w:r>
    </w:p>
    <w:p w14:paraId="635FFBF6" w14:textId="2F17D588" w:rsidR="007815F8" w:rsidRPr="00057443" w:rsidRDefault="007815F8" w:rsidP="009557D4">
      <w:pPr>
        <w:pStyle w:val="Quote"/>
        <w:rPr>
          <w:rtl/>
        </w:rPr>
      </w:pPr>
      <w:r w:rsidRPr="00057443">
        <w:rPr>
          <w:rFonts w:hint="cs"/>
          <w:rtl/>
        </w:rPr>
        <w:t>עיקרם</w:t>
      </w:r>
      <w:r w:rsidRPr="00057443">
        <w:rPr>
          <w:rtl/>
        </w:rPr>
        <w:t xml:space="preserve"> </w:t>
      </w:r>
      <w:r w:rsidRPr="00057443">
        <w:rPr>
          <w:rFonts w:hint="cs"/>
          <w:rtl/>
        </w:rPr>
        <w:t>של</w:t>
      </w:r>
      <w:r w:rsidRPr="00057443">
        <w:rPr>
          <w:rtl/>
        </w:rPr>
        <w:t xml:space="preserve"> </w:t>
      </w:r>
      <w:r w:rsidRPr="00057443">
        <w:rPr>
          <w:rFonts w:hint="cs"/>
          <w:rtl/>
        </w:rPr>
        <w:t>ההסדרים</w:t>
      </w:r>
      <w:r w:rsidRPr="00057443">
        <w:rPr>
          <w:rtl/>
        </w:rPr>
        <w:t xml:space="preserve"> </w:t>
      </w:r>
      <w:r w:rsidRPr="00057443">
        <w:rPr>
          <w:rFonts w:hint="cs"/>
          <w:rtl/>
        </w:rPr>
        <w:t>אינו</w:t>
      </w:r>
      <w:r w:rsidRPr="00057443">
        <w:rPr>
          <w:rtl/>
        </w:rPr>
        <w:t xml:space="preserve"> </w:t>
      </w:r>
      <w:r w:rsidRPr="00057443">
        <w:rPr>
          <w:rFonts w:hint="cs"/>
          <w:rtl/>
        </w:rPr>
        <w:t>בהפחתת</w:t>
      </w:r>
      <w:r w:rsidRPr="00057443">
        <w:rPr>
          <w:rtl/>
        </w:rPr>
        <w:t xml:space="preserve"> </w:t>
      </w:r>
      <w:r w:rsidRPr="00057443">
        <w:rPr>
          <w:rFonts w:hint="cs"/>
          <w:rtl/>
        </w:rPr>
        <w:t>התחרות</w:t>
      </w:r>
      <w:r w:rsidRPr="00057443">
        <w:rPr>
          <w:rtl/>
        </w:rPr>
        <w:t xml:space="preserve"> </w:t>
      </w:r>
      <w:r w:rsidRPr="00057443">
        <w:rPr>
          <w:rFonts w:hint="cs"/>
          <w:rtl/>
        </w:rPr>
        <w:t>או</w:t>
      </w:r>
      <w:r w:rsidRPr="00057443">
        <w:rPr>
          <w:rtl/>
        </w:rPr>
        <w:t xml:space="preserve"> </w:t>
      </w:r>
      <w:r w:rsidRPr="00057443">
        <w:rPr>
          <w:rFonts w:hint="cs"/>
          <w:rtl/>
        </w:rPr>
        <w:t>במניעתה</w:t>
      </w:r>
      <w:r w:rsidRPr="00057443">
        <w:rPr>
          <w:rtl/>
        </w:rPr>
        <w:t xml:space="preserve"> </w:t>
      </w:r>
      <w:r w:rsidRPr="00057443">
        <w:rPr>
          <w:rFonts w:hint="cs"/>
          <w:rtl/>
        </w:rPr>
        <w:t>והם</w:t>
      </w:r>
      <w:r w:rsidRPr="00057443">
        <w:rPr>
          <w:rtl/>
        </w:rPr>
        <w:t xml:space="preserve"> </w:t>
      </w:r>
      <w:r w:rsidRPr="00057443">
        <w:rPr>
          <w:rFonts w:hint="cs"/>
          <w:rtl/>
        </w:rPr>
        <w:t>אינם</w:t>
      </w:r>
      <w:r w:rsidRPr="00057443">
        <w:rPr>
          <w:rtl/>
        </w:rPr>
        <w:t xml:space="preserve"> </w:t>
      </w:r>
      <w:r w:rsidRPr="00057443">
        <w:rPr>
          <w:rFonts w:hint="cs"/>
          <w:rtl/>
        </w:rPr>
        <w:t>כוללים</w:t>
      </w:r>
      <w:r w:rsidRPr="00057443">
        <w:rPr>
          <w:rtl/>
        </w:rPr>
        <w:t xml:space="preserve"> </w:t>
      </w:r>
      <w:r w:rsidRPr="00057443">
        <w:rPr>
          <w:rFonts w:hint="cs"/>
          <w:rtl/>
        </w:rPr>
        <w:t>כבילות</w:t>
      </w:r>
      <w:r w:rsidRPr="00057443">
        <w:rPr>
          <w:rtl/>
        </w:rPr>
        <w:t xml:space="preserve"> </w:t>
      </w:r>
      <w:r w:rsidRPr="00057443">
        <w:rPr>
          <w:rFonts w:hint="cs"/>
          <w:rtl/>
        </w:rPr>
        <w:t>שאינן</w:t>
      </w:r>
      <w:r w:rsidRPr="00057443">
        <w:rPr>
          <w:rtl/>
        </w:rPr>
        <w:t xml:space="preserve"> </w:t>
      </w:r>
      <w:r w:rsidRPr="00057443">
        <w:rPr>
          <w:rFonts w:hint="cs"/>
          <w:rtl/>
        </w:rPr>
        <w:t>נחוצות</w:t>
      </w:r>
      <w:r w:rsidRPr="00057443">
        <w:rPr>
          <w:rtl/>
        </w:rPr>
        <w:t xml:space="preserve"> </w:t>
      </w:r>
      <w:r w:rsidRPr="00057443">
        <w:rPr>
          <w:rFonts w:hint="cs"/>
          <w:rtl/>
        </w:rPr>
        <w:t>למימוש</w:t>
      </w:r>
      <w:r w:rsidRPr="00057443">
        <w:rPr>
          <w:rtl/>
        </w:rPr>
        <w:t xml:space="preserve"> </w:t>
      </w:r>
      <w:r w:rsidRPr="00057443">
        <w:rPr>
          <w:rFonts w:hint="cs"/>
          <w:rtl/>
        </w:rPr>
        <w:t>עיקרם</w:t>
      </w:r>
      <w:r w:rsidRPr="00057443">
        <w:rPr>
          <w:rtl/>
        </w:rPr>
        <w:t>.</w:t>
      </w:r>
    </w:p>
    <w:p w14:paraId="6804656F" w14:textId="3666512D" w:rsidR="00510312" w:rsidRDefault="00A654AE" w:rsidP="00A654AE">
      <w:pPr>
        <w:spacing w:before="240" w:after="0" w:line="360" w:lineRule="auto"/>
        <w:jc w:val="both"/>
        <w:rPr>
          <w:rFonts w:cs="David"/>
          <w:sz w:val="24"/>
          <w:szCs w:val="24"/>
          <w:rtl/>
        </w:rPr>
      </w:pPr>
      <w:bookmarkStart w:id="0" w:name="_Ref508122239"/>
      <w:r>
        <w:rPr>
          <w:rFonts w:cs="David" w:hint="cs"/>
          <w:sz w:val="24"/>
          <w:szCs w:val="24"/>
          <w:rtl/>
        </w:rPr>
        <w:t xml:space="preserve"> בנוסף, רובם המכריע של כללי פטור הסוג כוללים הוראות שהן מקבילות להוראות החוק הנ"ל, והן מתנות את תחולת פטור הסוג בכך שעיקרו של ההסדר אינו בהפחתת התחרות או במניעתה ואין בו כבילות שאינן נחוצות למימוש עיקרו.</w:t>
      </w:r>
      <w:r w:rsidR="00C2495A">
        <w:rPr>
          <w:rStyle w:val="FootnoteReference"/>
          <w:rFonts w:cs="David"/>
          <w:sz w:val="24"/>
          <w:szCs w:val="24"/>
          <w:rtl/>
        </w:rPr>
        <w:footnoteReference w:id="1"/>
      </w:r>
      <w:bookmarkEnd w:id="0"/>
      <w:r w:rsidR="00C2495A">
        <w:rPr>
          <w:rFonts w:cs="David" w:hint="cs"/>
          <w:sz w:val="24"/>
          <w:szCs w:val="24"/>
          <w:rtl/>
        </w:rPr>
        <w:t xml:space="preserve"> </w:t>
      </w:r>
    </w:p>
    <w:p w14:paraId="7FFED44E" w14:textId="221CF240" w:rsidR="00005895" w:rsidRDefault="00005895" w:rsidP="00E960D8">
      <w:pPr>
        <w:spacing w:before="240" w:after="0" w:line="360" w:lineRule="auto"/>
        <w:jc w:val="both"/>
        <w:rPr>
          <w:rFonts w:cs="David"/>
          <w:sz w:val="24"/>
          <w:szCs w:val="24"/>
          <w:rtl/>
        </w:rPr>
      </w:pPr>
      <w:r>
        <w:rPr>
          <w:rFonts w:cs="David" w:hint="cs"/>
          <w:sz w:val="24"/>
          <w:szCs w:val="24"/>
          <w:rtl/>
        </w:rPr>
        <w:lastRenderedPageBreak/>
        <w:t xml:space="preserve">כשם שסע' 14(א)(2) לחוק תופס מקום מרכזי בתהליך קבלת החלטה בדבר בקשת פטור המוגשת לממונה, כך </w:t>
      </w:r>
      <w:r w:rsidR="008E7D63">
        <w:rPr>
          <w:rFonts w:cs="David" w:hint="cs"/>
          <w:sz w:val="24"/>
          <w:szCs w:val="24"/>
          <w:rtl/>
        </w:rPr>
        <w:t xml:space="preserve">תופסות </w:t>
      </w:r>
      <w:r>
        <w:rPr>
          <w:rFonts w:cs="David" w:hint="cs"/>
          <w:sz w:val="24"/>
          <w:szCs w:val="24"/>
          <w:rtl/>
        </w:rPr>
        <w:t>ההוראות ה</w:t>
      </w:r>
      <w:r w:rsidR="00A3617D">
        <w:rPr>
          <w:rFonts w:cs="David" w:hint="cs"/>
          <w:sz w:val="24"/>
          <w:szCs w:val="24"/>
          <w:rtl/>
        </w:rPr>
        <w:t>מקביל</w:t>
      </w:r>
      <w:r>
        <w:rPr>
          <w:rFonts w:cs="David" w:hint="cs"/>
          <w:sz w:val="24"/>
          <w:szCs w:val="24"/>
          <w:rtl/>
        </w:rPr>
        <w:t xml:space="preserve">ות </w:t>
      </w:r>
      <w:r w:rsidR="009950B2">
        <w:rPr>
          <w:rFonts w:cs="David" w:hint="cs"/>
          <w:sz w:val="24"/>
          <w:szCs w:val="24"/>
          <w:rtl/>
        </w:rPr>
        <w:t>ש</w:t>
      </w:r>
      <w:r>
        <w:rPr>
          <w:rFonts w:cs="David" w:hint="cs"/>
          <w:sz w:val="24"/>
          <w:szCs w:val="24"/>
          <w:rtl/>
        </w:rPr>
        <w:t>ב</w:t>
      </w:r>
      <w:r w:rsidR="00735F74">
        <w:rPr>
          <w:rFonts w:cs="David" w:hint="cs"/>
          <w:sz w:val="24"/>
          <w:szCs w:val="24"/>
          <w:rtl/>
        </w:rPr>
        <w:t xml:space="preserve">כללי </w:t>
      </w:r>
      <w:r>
        <w:rPr>
          <w:rFonts w:cs="David" w:hint="cs"/>
          <w:sz w:val="24"/>
          <w:szCs w:val="24"/>
          <w:rtl/>
        </w:rPr>
        <w:t xml:space="preserve">פטור הסוג השונים </w:t>
      </w:r>
      <w:r w:rsidR="008E7D63">
        <w:rPr>
          <w:rFonts w:cs="David" w:hint="cs"/>
          <w:sz w:val="24"/>
          <w:szCs w:val="24"/>
          <w:rtl/>
        </w:rPr>
        <w:t>מקום מרכזי ב</w:t>
      </w:r>
      <w:r w:rsidR="009118A1">
        <w:rPr>
          <w:rFonts w:cs="David" w:hint="cs"/>
          <w:sz w:val="24"/>
          <w:szCs w:val="24"/>
          <w:rtl/>
        </w:rPr>
        <w:t>קבלת החלט</w:t>
      </w:r>
      <w:r w:rsidR="008E7D63">
        <w:rPr>
          <w:rFonts w:cs="David" w:hint="cs"/>
          <w:sz w:val="24"/>
          <w:szCs w:val="24"/>
          <w:rtl/>
        </w:rPr>
        <w:t>ה</w:t>
      </w:r>
      <w:r w:rsidR="009118A1">
        <w:rPr>
          <w:rFonts w:cs="David" w:hint="cs"/>
          <w:sz w:val="24"/>
          <w:szCs w:val="24"/>
          <w:rtl/>
        </w:rPr>
        <w:t xml:space="preserve"> בנוגע </w:t>
      </w:r>
      <w:r>
        <w:rPr>
          <w:rFonts w:cs="David" w:hint="cs"/>
          <w:sz w:val="24"/>
          <w:szCs w:val="24"/>
          <w:rtl/>
        </w:rPr>
        <w:t xml:space="preserve">לתחולתם של </w:t>
      </w:r>
      <w:r w:rsidR="00735F74">
        <w:rPr>
          <w:rFonts w:cs="David" w:hint="cs"/>
          <w:sz w:val="24"/>
          <w:szCs w:val="24"/>
          <w:rtl/>
        </w:rPr>
        <w:t xml:space="preserve">כללי </w:t>
      </w:r>
      <w:r>
        <w:rPr>
          <w:rFonts w:cs="David" w:hint="cs"/>
          <w:sz w:val="24"/>
          <w:szCs w:val="24"/>
          <w:rtl/>
        </w:rPr>
        <w:t>פטור הסוג.</w:t>
      </w:r>
      <w:r w:rsidR="00166E75">
        <w:rPr>
          <w:rFonts w:cs="David" w:hint="cs"/>
          <w:sz w:val="24"/>
          <w:szCs w:val="24"/>
          <w:rtl/>
        </w:rPr>
        <w:t xml:space="preserve"> חשיבותן של הוראות אלה גדלה בשנים האחרונות עם פר</w:t>
      </w:r>
      <w:r w:rsidR="006758D9">
        <w:rPr>
          <w:rFonts w:cs="David" w:hint="cs"/>
          <w:sz w:val="24"/>
          <w:szCs w:val="24"/>
          <w:rtl/>
        </w:rPr>
        <w:t>ס</w:t>
      </w:r>
      <w:r w:rsidR="00166E75">
        <w:rPr>
          <w:rFonts w:cs="David" w:hint="cs"/>
          <w:sz w:val="24"/>
          <w:szCs w:val="24"/>
          <w:rtl/>
        </w:rPr>
        <w:t xml:space="preserve">ומם של </w:t>
      </w:r>
      <w:r w:rsidR="00735F74">
        <w:rPr>
          <w:rFonts w:cs="David" w:hint="cs"/>
          <w:sz w:val="24"/>
          <w:szCs w:val="24"/>
          <w:rtl/>
        </w:rPr>
        <w:t xml:space="preserve">כללי </w:t>
      </w:r>
      <w:r w:rsidR="00166E75">
        <w:rPr>
          <w:rFonts w:cs="David" w:hint="cs"/>
          <w:sz w:val="24"/>
          <w:szCs w:val="24"/>
          <w:rtl/>
        </w:rPr>
        <w:t>פטורי סוג</w:t>
      </w:r>
      <w:r w:rsidR="006758D9">
        <w:rPr>
          <w:rFonts w:cs="David" w:hint="cs"/>
          <w:sz w:val="24"/>
          <w:szCs w:val="24"/>
          <w:rtl/>
        </w:rPr>
        <w:t xml:space="preserve"> חדשים</w:t>
      </w:r>
      <w:r w:rsidR="00735F74">
        <w:rPr>
          <w:rFonts w:cs="David" w:hint="cs"/>
          <w:sz w:val="24"/>
          <w:szCs w:val="24"/>
          <w:rtl/>
        </w:rPr>
        <w:t xml:space="preserve"> המבוססים על</w:t>
      </w:r>
      <w:r w:rsidR="006758D9">
        <w:rPr>
          <w:rFonts w:cs="David" w:hint="cs"/>
          <w:sz w:val="24"/>
          <w:szCs w:val="24"/>
          <w:rtl/>
        </w:rPr>
        <w:t xml:space="preserve"> </w:t>
      </w:r>
      <w:r w:rsidR="00413EE7">
        <w:rPr>
          <w:rFonts w:cs="David" w:hint="cs"/>
          <w:sz w:val="24"/>
          <w:szCs w:val="24"/>
          <w:rtl/>
        </w:rPr>
        <w:t>הערכה</w:t>
      </w:r>
      <w:r w:rsidR="006758D9">
        <w:rPr>
          <w:rFonts w:cs="David" w:hint="cs"/>
          <w:sz w:val="24"/>
          <w:szCs w:val="24"/>
          <w:rtl/>
        </w:rPr>
        <w:t xml:space="preserve"> עצמית (</w:t>
      </w:r>
      <w:r w:rsidR="006758D9" w:rsidRPr="00057443">
        <w:rPr>
          <w:rFonts w:asciiTheme="majorBidi" w:hAnsiTheme="majorBidi" w:cstheme="majorBidi"/>
          <w:sz w:val="24"/>
          <w:szCs w:val="24"/>
        </w:rPr>
        <w:t>self-assessment</w:t>
      </w:r>
      <w:r w:rsidR="006758D9">
        <w:rPr>
          <w:rFonts w:cs="David" w:hint="cs"/>
          <w:sz w:val="24"/>
          <w:szCs w:val="24"/>
          <w:rtl/>
        </w:rPr>
        <w:t>).</w:t>
      </w:r>
      <w:r w:rsidR="006758D9">
        <w:rPr>
          <w:rStyle w:val="FootnoteReference"/>
          <w:rFonts w:cs="David"/>
          <w:sz w:val="24"/>
          <w:szCs w:val="24"/>
          <w:rtl/>
        </w:rPr>
        <w:footnoteReference w:id="2"/>
      </w:r>
      <w:r w:rsidR="00166E75">
        <w:rPr>
          <w:rFonts w:cs="David" w:hint="cs"/>
          <w:sz w:val="24"/>
          <w:szCs w:val="24"/>
          <w:rtl/>
        </w:rPr>
        <w:t xml:space="preserve"> </w:t>
      </w:r>
      <w:r>
        <w:rPr>
          <w:rFonts w:cs="David" w:hint="cs"/>
          <w:sz w:val="24"/>
          <w:szCs w:val="24"/>
          <w:rtl/>
        </w:rPr>
        <w:t xml:space="preserve"> </w:t>
      </w:r>
      <w:r w:rsidR="00735F74">
        <w:rPr>
          <w:rFonts w:cs="David" w:hint="cs"/>
          <w:sz w:val="24"/>
          <w:szCs w:val="24"/>
          <w:rtl/>
        </w:rPr>
        <w:t xml:space="preserve">כללי פטור הסוג המבוססים על </w:t>
      </w:r>
      <w:r w:rsidR="00413EE7">
        <w:rPr>
          <w:rFonts w:cs="David" w:hint="cs"/>
          <w:sz w:val="24"/>
          <w:szCs w:val="24"/>
          <w:rtl/>
        </w:rPr>
        <w:t>הערכה</w:t>
      </w:r>
      <w:r w:rsidR="00735F74">
        <w:rPr>
          <w:rFonts w:cs="David" w:hint="cs"/>
          <w:sz w:val="24"/>
          <w:szCs w:val="24"/>
          <w:rtl/>
        </w:rPr>
        <w:t xml:space="preserve"> עצמית נשענים במהותם על</w:t>
      </w:r>
      <w:r w:rsidR="009950B2">
        <w:rPr>
          <w:rFonts w:cs="David" w:hint="cs"/>
          <w:sz w:val="24"/>
          <w:szCs w:val="24"/>
          <w:rtl/>
        </w:rPr>
        <w:t xml:space="preserve"> הוראות המקבילות</w:t>
      </w:r>
      <w:r w:rsidR="00735F74">
        <w:rPr>
          <w:rFonts w:cs="David" w:hint="cs"/>
          <w:sz w:val="24"/>
          <w:szCs w:val="24"/>
          <w:rtl/>
        </w:rPr>
        <w:t xml:space="preserve"> </w:t>
      </w:r>
      <w:r w:rsidR="009950B2">
        <w:rPr>
          <w:rFonts w:cs="David" w:hint="cs"/>
          <w:sz w:val="24"/>
          <w:szCs w:val="24"/>
          <w:rtl/>
        </w:rPr>
        <w:t>ל</w:t>
      </w:r>
      <w:r w:rsidR="00735F74">
        <w:rPr>
          <w:rFonts w:cs="David" w:hint="cs"/>
          <w:sz w:val="24"/>
          <w:szCs w:val="24"/>
          <w:rtl/>
        </w:rPr>
        <w:t xml:space="preserve">שני רכיבי סעיף 15א(א) ומאפשרים לצדדים לבחון בעצמם האם הם עומדים בדרישות </w:t>
      </w:r>
      <w:r w:rsidR="00C36E66">
        <w:rPr>
          <w:rFonts w:cs="David" w:hint="cs"/>
          <w:sz w:val="24"/>
          <w:szCs w:val="24"/>
          <w:rtl/>
        </w:rPr>
        <w:t xml:space="preserve">הוראות </w:t>
      </w:r>
      <w:r w:rsidR="00735F74">
        <w:rPr>
          <w:rFonts w:cs="David" w:hint="cs"/>
          <w:sz w:val="24"/>
          <w:szCs w:val="24"/>
          <w:rtl/>
        </w:rPr>
        <w:t xml:space="preserve"> אלה. </w:t>
      </w:r>
      <w:r w:rsidR="009A1B91">
        <w:rPr>
          <w:rFonts w:cs="David" w:hint="cs"/>
          <w:sz w:val="24"/>
          <w:szCs w:val="24"/>
          <w:rtl/>
        </w:rPr>
        <w:t xml:space="preserve">ביישום כללי פטור הסוג המבוססים על </w:t>
      </w:r>
      <w:r w:rsidR="00413EE7">
        <w:rPr>
          <w:rFonts w:cs="David" w:hint="cs"/>
          <w:sz w:val="24"/>
          <w:szCs w:val="24"/>
          <w:rtl/>
        </w:rPr>
        <w:t>הערכה</w:t>
      </w:r>
      <w:r w:rsidR="009A1B91">
        <w:rPr>
          <w:rFonts w:cs="David" w:hint="cs"/>
          <w:sz w:val="24"/>
          <w:szCs w:val="24"/>
          <w:rtl/>
        </w:rPr>
        <w:t xml:space="preserve"> עצמית יש מקום להיזקק לתורה שהצטברה בפרשנות מונחים אלה. באשר להוראות </w:t>
      </w:r>
      <w:r w:rsidR="009950B2">
        <w:rPr>
          <w:rFonts w:cs="David" w:hint="cs"/>
          <w:sz w:val="24"/>
          <w:szCs w:val="24"/>
          <w:rtl/>
        </w:rPr>
        <w:t>המקבילות ל</w:t>
      </w:r>
      <w:r w:rsidR="009A1B91">
        <w:rPr>
          <w:rFonts w:cs="David" w:hint="cs"/>
          <w:sz w:val="24"/>
          <w:szCs w:val="24"/>
          <w:rtl/>
        </w:rPr>
        <w:t>סעיף 15א(א)(1)</w:t>
      </w:r>
      <w:r w:rsidR="00C36E66">
        <w:rPr>
          <w:rFonts w:cs="David" w:hint="cs"/>
          <w:sz w:val="24"/>
          <w:szCs w:val="24"/>
          <w:rtl/>
        </w:rPr>
        <w:t>,</w:t>
      </w:r>
      <w:r w:rsidR="009A1B91">
        <w:rPr>
          <w:rFonts w:cs="David" w:hint="cs"/>
          <w:sz w:val="24"/>
          <w:szCs w:val="24"/>
          <w:rtl/>
        </w:rPr>
        <w:t xml:space="preserve"> קיימים פסקי דין והחלטות ממונה אשר יוצקים תוכן ל</w:t>
      </w:r>
      <w:r w:rsidR="00695ADE">
        <w:rPr>
          <w:rFonts w:cs="David" w:hint="cs"/>
          <w:sz w:val="24"/>
          <w:szCs w:val="24"/>
          <w:rtl/>
        </w:rPr>
        <w:t xml:space="preserve">תנאי </w:t>
      </w:r>
      <w:r w:rsidR="009A1B91">
        <w:rPr>
          <w:rFonts w:cs="David" w:hint="cs"/>
          <w:sz w:val="24"/>
          <w:szCs w:val="24"/>
          <w:rtl/>
        </w:rPr>
        <w:t>זה ומאפשרים למשתמשים בכללי פטור הסוג המבוססים על הערכה עצמית ליישם רכיב זה בהערכתם העצמית את ההסדר שביניהם. באשר ל</w:t>
      </w:r>
      <w:r w:rsidR="00C36E66">
        <w:rPr>
          <w:rFonts w:cs="David" w:hint="cs"/>
          <w:sz w:val="24"/>
          <w:szCs w:val="24"/>
          <w:rtl/>
        </w:rPr>
        <w:t xml:space="preserve">הוראות המקבילות </w:t>
      </w:r>
      <w:r w:rsidR="009950B2">
        <w:rPr>
          <w:rFonts w:cs="David" w:hint="cs"/>
          <w:sz w:val="24"/>
          <w:szCs w:val="24"/>
          <w:rtl/>
        </w:rPr>
        <w:t>ל</w:t>
      </w:r>
      <w:r w:rsidR="009A1B91">
        <w:rPr>
          <w:rFonts w:cs="David" w:hint="cs"/>
          <w:sz w:val="24"/>
          <w:szCs w:val="24"/>
          <w:rtl/>
        </w:rPr>
        <w:t>סעיף 15א(א)(2)</w:t>
      </w:r>
      <w:r w:rsidR="00C36E66">
        <w:rPr>
          <w:rFonts w:cs="David" w:hint="cs"/>
          <w:sz w:val="24"/>
          <w:szCs w:val="24"/>
          <w:rtl/>
        </w:rPr>
        <w:t>,</w:t>
      </w:r>
      <w:r w:rsidR="009A1B91">
        <w:rPr>
          <w:rFonts w:cs="David" w:hint="cs"/>
          <w:sz w:val="24"/>
          <w:szCs w:val="24"/>
          <w:rtl/>
        </w:rPr>
        <w:t xml:space="preserve"> ישנה התייחסות מועטה יותר בפסיקה ובהחלטות ממונה. בימים אלה </w:t>
      </w:r>
      <w:r w:rsidR="001030D0">
        <w:rPr>
          <w:rFonts w:cs="David" w:hint="cs"/>
          <w:sz w:val="24"/>
          <w:szCs w:val="24"/>
          <w:rtl/>
        </w:rPr>
        <w:t xml:space="preserve">התקבלו </w:t>
      </w:r>
      <w:r w:rsidR="009A1B91">
        <w:rPr>
          <w:rFonts w:cs="David" w:hint="cs"/>
          <w:sz w:val="24"/>
          <w:szCs w:val="24"/>
          <w:rtl/>
        </w:rPr>
        <w:t>תיקונים ל</w:t>
      </w:r>
      <w:r w:rsidR="001030D0">
        <w:rPr>
          <w:rFonts w:cs="David" w:hint="cs"/>
          <w:sz w:val="24"/>
          <w:szCs w:val="24"/>
          <w:rtl/>
        </w:rPr>
        <w:t xml:space="preserve">שני </w:t>
      </w:r>
      <w:r w:rsidR="009A1B91">
        <w:rPr>
          <w:rFonts w:cs="David" w:hint="cs"/>
          <w:sz w:val="24"/>
          <w:szCs w:val="24"/>
          <w:rtl/>
        </w:rPr>
        <w:t xml:space="preserve">כללי פטור סוג, אשר </w:t>
      </w:r>
      <w:r w:rsidR="001030D0">
        <w:rPr>
          <w:rFonts w:cs="David" w:hint="cs"/>
          <w:sz w:val="24"/>
          <w:szCs w:val="24"/>
          <w:rtl/>
        </w:rPr>
        <w:t xml:space="preserve">מוסיפים </w:t>
      </w:r>
      <w:r w:rsidR="00BA75F8">
        <w:rPr>
          <w:rFonts w:cs="David" w:hint="cs"/>
          <w:sz w:val="24"/>
          <w:szCs w:val="24"/>
          <w:rtl/>
        </w:rPr>
        <w:t xml:space="preserve">מסלול </w:t>
      </w:r>
      <w:r w:rsidR="009A1B91">
        <w:rPr>
          <w:rFonts w:cs="David" w:hint="cs"/>
          <w:sz w:val="24"/>
          <w:szCs w:val="24"/>
          <w:rtl/>
        </w:rPr>
        <w:t>המבוסס על הערכה עצמית.</w:t>
      </w:r>
      <w:r w:rsidR="00B056F6">
        <w:rPr>
          <w:rStyle w:val="FootnoteReference"/>
          <w:rFonts w:cs="David"/>
          <w:sz w:val="24"/>
          <w:szCs w:val="24"/>
          <w:rtl/>
        </w:rPr>
        <w:footnoteReference w:id="3"/>
      </w:r>
      <w:r w:rsidR="009A1B91">
        <w:rPr>
          <w:rFonts w:cs="David" w:hint="cs"/>
          <w:sz w:val="24"/>
          <w:szCs w:val="24"/>
          <w:rtl/>
        </w:rPr>
        <w:t xml:space="preserve"> </w:t>
      </w:r>
      <w:r w:rsidR="00A0321A">
        <w:rPr>
          <w:rFonts w:cs="David" w:hint="cs"/>
          <w:sz w:val="24"/>
          <w:szCs w:val="24"/>
          <w:rtl/>
        </w:rPr>
        <w:t xml:space="preserve"> טיוטה להערות הציבור של תיקון לפטור סוג נוסף, </w:t>
      </w:r>
      <w:r w:rsidR="00C866C7">
        <w:rPr>
          <w:rFonts w:cs="David" w:hint="cs"/>
          <w:sz w:val="24"/>
          <w:szCs w:val="24"/>
          <w:rtl/>
        </w:rPr>
        <w:t xml:space="preserve">המציעה אף היא להוסיף </w:t>
      </w:r>
      <w:r w:rsidR="003F71DF">
        <w:rPr>
          <w:rFonts w:cs="David" w:hint="cs"/>
          <w:sz w:val="24"/>
          <w:szCs w:val="24"/>
          <w:rtl/>
        </w:rPr>
        <w:t>מסלול המבוסס על הערכה עצמית</w:t>
      </w:r>
      <w:r w:rsidR="00E960D8">
        <w:rPr>
          <w:rFonts w:cs="David" w:hint="cs"/>
          <w:sz w:val="24"/>
          <w:szCs w:val="24"/>
          <w:rtl/>
        </w:rPr>
        <w:t xml:space="preserve"> מצויה בשלבים אחרונים של תיקון.</w:t>
      </w:r>
      <w:r w:rsidR="00A0321A">
        <w:rPr>
          <w:rStyle w:val="FootnoteReference"/>
          <w:rFonts w:cs="David"/>
          <w:sz w:val="24"/>
          <w:szCs w:val="24"/>
          <w:rtl/>
        </w:rPr>
        <w:footnoteReference w:id="4"/>
      </w:r>
      <w:r w:rsidR="00A0321A">
        <w:rPr>
          <w:rFonts w:cs="David" w:hint="cs"/>
          <w:sz w:val="24"/>
          <w:szCs w:val="24"/>
          <w:rtl/>
        </w:rPr>
        <w:t xml:space="preserve"> </w:t>
      </w:r>
      <w:r w:rsidR="009D6D3C">
        <w:rPr>
          <w:rFonts w:cs="David" w:hint="cs"/>
          <w:sz w:val="24"/>
          <w:szCs w:val="24"/>
          <w:rtl/>
        </w:rPr>
        <w:t xml:space="preserve">כיוון שפטורי הסוג המבוססים על הערכה עצמית שמים את עיקר יהבם על הוראות </w:t>
      </w:r>
      <w:r w:rsidR="009950B2">
        <w:rPr>
          <w:rFonts w:cs="David" w:hint="cs"/>
          <w:sz w:val="24"/>
          <w:szCs w:val="24"/>
          <w:rtl/>
        </w:rPr>
        <w:t>המקבילות ל</w:t>
      </w:r>
      <w:r w:rsidR="009D6D3C">
        <w:rPr>
          <w:rFonts w:cs="David" w:hint="cs"/>
          <w:sz w:val="24"/>
          <w:szCs w:val="24"/>
          <w:rtl/>
        </w:rPr>
        <w:t>סעיף 15א(א), הרי ש</w:t>
      </w:r>
      <w:r w:rsidR="009950B2">
        <w:rPr>
          <w:rFonts w:cs="David" w:hint="cs"/>
          <w:sz w:val="24"/>
          <w:szCs w:val="24"/>
          <w:rtl/>
        </w:rPr>
        <w:t>חשיבות</w:t>
      </w:r>
      <w:r w:rsidR="00C866C7">
        <w:rPr>
          <w:rFonts w:cs="David" w:hint="cs"/>
          <w:sz w:val="24"/>
          <w:szCs w:val="24"/>
          <w:rtl/>
        </w:rPr>
        <w:t>ו</w:t>
      </w:r>
      <w:r w:rsidR="009D6D3C">
        <w:rPr>
          <w:rFonts w:cs="David" w:hint="cs"/>
          <w:sz w:val="24"/>
          <w:szCs w:val="24"/>
          <w:rtl/>
        </w:rPr>
        <w:t xml:space="preserve"> של סעיף 15א(א)(2) בניתוח של תחולת פטור הסוג על עסקה ספציפית עולה באופן משמעותי. </w:t>
      </w:r>
      <w:r>
        <w:rPr>
          <w:rFonts w:cs="David" w:hint="cs"/>
          <w:sz w:val="24"/>
          <w:szCs w:val="24"/>
          <w:rtl/>
        </w:rPr>
        <w:t>על רקע זה, רואה אני לנכון לפרסם גילוי דעת זה, המציג את פרשנותה של רשות</w:t>
      </w:r>
      <w:r w:rsidR="00D36873">
        <w:rPr>
          <w:rFonts w:cs="David" w:hint="cs"/>
          <w:sz w:val="24"/>
          <w:szCs w:val="24"/>
          <w:rtl/>
        </w:rPr>
        <w:t xml:space="preserve"> ההגבלים העסקיים</w:t>
      </w:r>
      <w:r>
        <w:rPr>
          <w:rFonts w:cs="David" w:hint="cs"/>
          <w:sz w:val="24"/>
          <w:szCs w:val="24"/>
          <w:rtl/>
        </w:rPr>
        <w:t xml:space="preserve"> להוראות אלה. לשם הנוחות יתמקד גילוי הדעת </w:t>
      </w:r>
      <w:proofErr w:type="spellStart"/>
      <w:r>
        <w:rPr>
          <w:rFonts w:cs="David" w:hint="cs"/>
          <w:sz w:val="24"/>
          <w:szCs w:val="24"/>
          <w:rtl/>
        </w:rPr>
        <w:t>בסע</w:t>
      </w:r>
      <w:proofErr w:type="spellEnd"/>
      <w:r>
        <w:rPr>
          <w:rFonts w:cs="David" w:hint="cs"/>
          <w:sz w:val="24"/>
          <w:szCs w:val="24"/>
          <w:rtl/>
        </w:rPr>
        <w:t xml:space="preserve">' 14(א)(2) לחוק, אך יש לראות את הדברים כרלוונטיים גם </w:t>
      </w:r>
      <w:proofErr w:type="spellStart"/>
      <w:r w:rsidR="00D36873">
        <w:rPr>
          <w:rFonts w:cs="David" w:hint="cs"/>
          <w:sz w:val="24"/>
          <w:szCs w:val="24"/>
          <w:rtl/>
        </w:rPr>
        <w:t>לסע</w:t>
      </w:r>
      <w:proofErr w:type="spellEnd"/>
      <w:r w:rsidR="00D36873">
        <w:rPr>
          <w:rFonts w:cs="David" w:hint="cs"/>
          <w:sz w:val="24"/>
          <w:szCs w:val="24"/>
          <w:rtl/>
        </w:rPr>
        <w:t>' 15א(א)(2) ולהוראות ה</w:t>
      </w:r>
      <w:r w:rsidR="00C04C02">
        <w:rPr>
          <w:rFonts w:cs="David" w:hint="cs"/>
          <w:sz w:val="24"/>
          <w:szCs w:val="24"/>
          <w:rtl/>
        </w:rPr>
        <w:t>מקבילות</w:t>
      </w:r>
      <w:r w:rsidR="00D36873">
        <w:rPr>
          <w:rFonts w:cs="David" w:hint="cs"/>
          <w:sz w:val="24"/>
          <w:szCs w:val="24"/>
          <w:rtl/>
        </w:rPr>
        <w:t xml:space="preserve"> שבפטורי הסוג</w:t>
      </w:r>
      <w:r>
        <w:rPr>
          <w:rFonts w:cs="David" w:hint="cs"/>
          <w:sz w:val="24"/>
          <w:szCs w:val="24"/>
          <w:rtl/>
        </w:rPr>
        <w:t xml:space="preserve">, בשינויים </w:t>
      </w:r>
      <w:proofErr w:type="spellStart"/>
      <w:r>
        <w:rPr>
          <w:rFonts w:cs="David" w:hint="cs"/>
          <w:sz w:val="24"/>
          <w:szCs w:val="24"/>
          <w:rtl/>
        </w:rPr>
        <w:t>המחוייבים</w:t>
      </w:r>
      <w:proofErr w:type="spellEnd"/>
      <w:r>
        <w:rPr>
          <w:rFonts w:cs="David" w:hint="cs"/>
          <w:sz w:val="24"/>
          <w:szCs w:val="24"/>
          <w:rtl/>
        </w:rPr>
        <w:t xml:space="preserve">. </w:t>
      </w:r>
      <w:r w:rsidR="00AA185F">
        <w:rPr>
          <w:rFonts w:cs="David" w:hint="cs"/>
          <w:sz w:val="24"/>
          <w:szCs w:val="24"/>
          <w:rtl/>
        </w:rPr>
        <w:t>בבואם של צדדים להסדר ליישם כללי פטור סוג</w:t>
      </w:r>
      <w:r w:rsidR="00BA75F8">
        <w:rPr>
          <w:rFonts w:cs="David" w:hint="cs"/>
          <w:sz w:val="24"/>
          <w:szCs w:val="24"/>
          <w:rtl/>
        </w:rPr>
        <w:t>, גם אלה</w:t>
      </w:r>
      <w:r w:rsidR="00AA185F">
        <w:rPr>
          <w:rFonts w:cs="David" w:hint="cs"/>
          <w:sz w:val="24"/>
          <w:szCs w:val="24"/>
          <w:rtl/>
        </w:rPr>
        <w:t xml:space="preserve"> המבוססים על הערכה עצמית</w:t>
      </w:r>
      <w:r w:rsidR="00BA75F8">
        <w:rPr>
          <w:rFonts w:cs="David" w:hint="cs"/>
          <w:sz w:val="24"/>
          <w:szCs w:val="24"/>
          <w:rtl/>
        </w:rPr>
        <w:t>,</w:t>
      </w:r>
      <w:r w:rsidR="00AA185F">
        <w:rPr>
          <w:rFonts w:cs="David" w:hint="cs"/>
          <w:sz w:val="24"/>
          <w:szCs w:val="24"/>
          <w:rtl/>
        </w:rPr>
        <w:t xml:space="preserve"> שומה עליהם להקפיד </w:t>
      </w:r>
      <w:r w:rsidR="000368E3">
        <w:rPr>
          <w:rFonts w:cs="David" w:hint="cs"/>
          <w:sz w:val="24"/>
          <w:szCs w:val="24"/>
          <w:rtl/>
        </w:rPr>
        <w:t xml:space="preserve">הקפדה יתרה </w:t>
      </w:r>
      <w:r w:rsidR="00AA185F">
        <w:rPr>
          <w:rFonts w:cs="David" w:hint="cs"/>
          <w:sz w:val="24"/>
          <w:szCs w:val="24"/>
          <w:rtl/>
        </w:rPr>
        <w:t xml:space="preserve">על התקיימות </w:t>
      </w:r>
      <w:r w:rsidR="000368E3">
        <w:rPr>
          <w:rFonts w:cs="David" w:hint="cs"/>
          <w:sz w:val="24"/>
          <w:szCs w:val="24"/>
          <w:rtl/>
        </w:rPr>
        <w:t>ה</w:t>
      </w:r>
      <w:r w:rsidR="00AA185F">
        <w:rPr>
          <w:rFonts w:cs="David" w:hint="cs"/>
          <w:sz w:val="24"/>
          <w:szCs w:val="24"/>
          <w:rtl/>
        </w:rPr>
        <w:t xml:space="preserve">הוראות </w:t>
      </w:r>
      <w:r w:rsidR="000368E3">
        <w:rPr>
          <w:rFonts w:cs="David" w:hint="cs"/>
          <w:sz w:val="24"/>
          <w:szCs w:val="24"/>
          <w:rtl/>
        </w:rPr>
        <w:t>המקבילות ל</w:t>
      </w:r>
      <w:r w:rsidR="00AA185F">
        <w:rPr>
          <w:rFonts w:cs="David" w:hint="cs"/>
          <w:sz w:val="24"/>
          <w:szCs w:val="24"/>
          <w:rtl/>
        </w:rPr>
        <w:t xml:space="preserve">סעיף </w:t>
      </w:r>
      <w:r w:rsidR="00ED339A">
        <w:rPr>
          <w:rFonts w:cs="David" w:hint="cs"/>
          <w:sz w:val="24"/>
          <w:szCs w:val="24"/>
          <w:rtl/>
        </w:rPr>
        <w:t>14(א)(2)</w:t>
      </w:r>
      <w:r w:rsidR="00981D84">
        <w:rPr>
          <w:rFonts w:cs="David" w:hint="cs"/>
          <w:sz w:val="24"/>
          <w:szCs w:val="24"/>
          <w:rtl/>
        </w:rPr>
        <w:t xml:space="preserve">. אם לא </w:t>
      </w:r>
      <w:r w:rsidR="004D3981">
        <w:rPr>
          <w:rFonts w:cs="David" w:hint="cs"/>
          <w:sz w:val="24"/>
          <w:szCs w:val="24"/>
          <w:rtl/>
        </w:rPr>
        <w:t>מתקיימות</w:t>
      </w:r>
      <w:r w:rsidR="00981D84">
        <w:rPr>
          <w:rFonts w:cs="David" w:hint="cs"/>
          <w:sz w:val="24"/>
          <w:szCs w:val="24"/>
          <w:rtl/>
        </w:rPr>
        <w:t xml:space="preserve"> הוראות</w:t>
      </w:r>
      <w:r w:rsidR="000368E3">
        <w:rPr>
          <w:rFonts w:cs="David" w:hint="cs"/>
          <w:sz w:val="24"/>
          <w:szCs w:val="24"/>
          <w:rtl/>
        </w:rPr>
        <w:t xml:space="preserve"> אלה,</w:t>
      </w:r>
      <w:r w:rsidR="00981D84">
        <w:rPr>
          <w:rFonts w:cs="David" w:hint="cs"/>
          <w:sz w:val="24"/>
          <w:szCs w:val="24"/>
          <w:rtl/>
        </w:rPr>
        <w:t xml:space="preserve"> אין תחולה לכללי פטור הסוג והצדדים עלולים למצוא את עצמם מפרים את חוק ההגבלים העסקיים</w:t>
      </w:r>
      <w:r w:rsidR="00982172">
        <w:rPr>
          <w:rFonts w:cs="David" w:hint="cs"/>
          <w:sz w:val="24"/>
          <w:szCs w:val="24"/>
          <w:rtl/>
        </w:rPr>
        <w:t>.</w:t>
      </w:r>
      <w:r w:rsidR="00981D84">
        <w:rPr>
          <w:rFonts w:cs="David" w:hint="cs"/>
          <w:sz w:val="24"/>
          <w:szCs w:val="24"/>
          <w:rtl/>
        </w:rPr>
        <w:t xml:space="preserve"> </w:t>
      </w:r>
    </w:p>
    <w:p w14:paraId="681A432D" w14:textId="675C8FEA" w:rsidR="00E76206" w:rsidRDefault="00691DBC" w:rsidP="00160B40">
      <w:pPr>
        <w:spacing w:before="240" w:after="0" w:line="360" w:lineRule="auto"/>
        <w:jc w:val="both"/>
        <w:rPr>
          <w:rFonts w:cs="David"/>
          <w:sz w:val="24"/>
          <w:szCs w:val="24"/>
          <w:rtl/>
        </w:rPr>
      </w:pPr>
      <w:r>
        <w:rPr>
          <w:rFonts w:cs="David" w:hint="cs"/>
          <w:sz w:val="24"/>
          <w:szCs w:val="24"/>
          <w:rtl/>
        </w:rPr>
        <w:t xml:space="preserve">כאמור, </w:t>
      </w:r>
      <w:r w:rsidR="00E76206">
        <w:rPr>
          <w:rFonts w:cs="David" w:hint="cs"/>
          <w:sz w:val="24"/>
          <w:szCs w:val="24"/>
          <w:rtl/>
        </w:rPr>
        <w:t xml:space="preserve">סע' 14(א)(2) לחוק אינו אלא אחד משני תנאים מצטברים, שרק בהתקיימות שניהם יתכן מתן פטור להסדר כובל. התנאי האחר מצוי </w:t>
      </w:r>
      <w:proofErr w:type="spellStart"/>
      <w:r w:rsidR="00E76206">
        <w:rPr>
          <w:rFonts w:cs="David" w:hint="cs"/>
          <w:sz w:val="24"/>
          <w:szCs w:val="24"/>
          <w:rtl/>
        </w:rPr>
        <w:t>בסע</w:t>
      </w:r>
      <w:proofErr w:type="spellEnd"/>
      <w:r w:rsidR="00E76206">
        <w:rPr>
          <w:rFonts w:cs="David" w:hint="cs"/>
          <w:sz w:val="24"/>
          <w:szCs w:val="24"/>
          <w:rtl/>
        </w:rPr>
        <w:t>' 14(א)(1), והוא עוסק במידת הפגיעה שההסדר עלול להסב לתחרות</w:t>
      </w:r>
      <w:r w:rsidR="00E76206" w:rsidRPr="003E7494">
        <w:rPr>
          <w:rFonts w:cs="David" w:hint="cs"/>
          <w:sz w:val="24"/>
          <w:szCs w:val="24"/>
          <w:rtl/>
        </w:rPr>
        <w:t xml:space="preserve">. </w:t>
      </w:r>
      <w:r w:rsidR="004A2497" w:rsidRPr="003E7494">
        <w:rPr>
          <w:rFonts w:cs="David" w:hint="cs"/>
          <w:sz w:val="24"/>
          <w:szCs w:val="24"/>
          <w:rtl/>
        </w:rPr>
        <w:t xml:space="preserve">כפי שכבר </w:t>
      </w:r>
      <w:proofErr w:type="spellStart"/>
      <w:r w:rsidR="004A2497" w:rsidRPr="003E7494">
        <w:rPr>
          <w:rFonts w:cs="David" w:hint="cs"/>
          <w:sz w:val="24"/>
          <w:szCs w:val="24"/>
          <w:rtl/>
        </w:rPr>
        <w:t>צויין</w:t>
      </w:r>
      <w:proofErr w:type="spellEnd"/>
      <w:r w:rsidR="004A2497" w:rsidRPr="003E7494">
        <w:rPr>
          <w:rFonts w:cs="David" w:hint="cs"/>
          <w:sz w:val="24"/>
          <w:szCs w:val="24"/>
          <w:rtl/>
        </w:rPr>
        <w:t>,</w:t>
      </w:r>
      <w:r w:rsidR="004A2497">
        <w:rPr>
          <w:rFonts w:cs="David" w:hint="cs"/>
          <w:sz w:val="24"/>
          <w:szCs w:val="24"/>
          <w:rtl/>
        </w:rPr>
        <w:t xml:space="preserve"> </w:t>
      </w:r>
      <w:r w:rsidR="00C85F95">
        <w:rPr>
          <w:rFonts w:cs="David" w:hint="cs"/>
          <w:sz w:val="24"/>
          <w:szCs w:val="24"/>
          <w:rtl/>
        </w:rPr>
        <w:t>הוא הדין לגבי סע' 15א(א)(2), שהוא תנאי מצטבר יחד עם סע' 15א(א)(1).</w:t>
      </w:r>
      <w:r w:rsidR="00C85F95">
        <w:rPr>
          <w:rStyle w:val="FootnoteReference"/>
          <w:rFonts w:cs="David"/>
          <w:sz w:val="24"/>
          <w:szCs w:val="24"/>
          <w:rtl/>
        </w:rPr>
        <w:footnoteReference w:id="5"/>
      </w:r>
      <w:r w:rsidR="00C85F95">
        <w:rPr>
          <w:rFonts w:cs="David" w:hint="cs"/>
          <w:sz w:val="24"/>
          <w:szCs w:val="24"/>
          <w:rtl/>
        </w:rPr>
        <w:t xml:space="preserve"> </w:t>
      </w:r>
      <w:r w:rsidR="00E76206">
        <w:rPr>
          <w:rFonts w:cs="David" w:hint="cs"/>
          <w:sz w:val="24"/>
          <w:szCs w:val="24"/>
          <w:rtl/>
        </w:rPr>
        <w:t xml:space="preserve">נשוב לדון ביחס שבין שני תנאים אלה בעמ' </w:t>
      </w:r>
      <w:r w:rsidR="00E76206">
        <w:rPr>
          <w:rFonts w:cs="David"/>
          <w:sz w:val="24"/>
          <w:szCs w:val="24"/>
          <w:rtl/>
        </w:rPr>
        <w:fldChar w:fldCharType="begin"/>
      </w:r>
      <w:r w:rsidR="00E76206">
        <w:rPr>
          <w:rFonts w:cs="David"/>
          <w:sz w:val="24"/>
          <w:szCs w:val="24"/>
          <w:rtl/>
        </w:rPr>
        <w:instrText xml:space="preserve"> </w:instrText>
      </w:r>
      <w:r w:rsidR="00E76206">
        <w:rPr>
          <w:rFonts w:cs="David" w:hint="cs"/>
          <w:sz w:val="24"/>
          <w:szCs w:val="24"/>
        </w:rPr>
        <w:instrText>PAGEREF</w:instrText>
      </w:r>
      <w:r w:rsidR="00E76206">
        <w:rPr>
          <w:rFonts w:cs="David" w:hint="cs"/>
          <w:sz w:val="24"/>
          <w:szCs w:val="24"/>
          <w:rtl/>
        </w:rPr>
        <w:instrText xml:space="preserve"> _</w:instrText>
      </w:r>
      <w:r w:rsidR="00E76206">
        <w:rPr>
          <w:rFonts w:cs="David" w:hint="cs"/>
          <w:sz w:val="24"/>
          <w:szCs w:val="24"/>
        </w:rPr>
        <w:instrText>Ref496262588 \h</w:instrText>
      </w:r>
      <w:r w:rsidR="00E76206">
        <w:rPr>
          <w:rFonts w:cs="David"/>
          <w:sz w:val="24"/>
          <w:szCs w:val="24"/>
          <w:rtl/>
        </w:rPr>
        <w:instrText xml:space="preserve"> </w:instrText>
      </w:r>
      <w:r w:rsidR="00E76206">
        <w:rPr>
          <w:rFonts w:cs="David"/>
          <w:sz w:val="24"/>
          <w:szCs w:val="24"/>
          <w:rtl/>
        </w:rPr>
      </w:r>
      <w:r w:rsidR="00E76206">
        <w:rPr>
          <w:rFonts w:cs="David"/>
          <w:sz w:val="24"/>
          <w:szCs w:val="24"/>
          <w:rtl/>
        </w:rPr>
        <w:fldChar w:fldCharType="separate"/>
      </w:r>
      <w:r w:rsidR="003F71DF">
        <w:rPr>
          <w:rFonts w:cs="David"/>
          <w:noProof/>
          <w:sz w:val="24"/>
          <w:szCs w:val="24"/>
          <w:rtl/>
        </w:rPr>
        <w:t>13</w:t>
      </w:r>
      <w:r w:rsidR="00E76206">
        <w:rPr>
          <w:rFonts w:cs="David"/>
          <w:sz w:val="24"/>
          <w:szCs w:val="24"/>
          <w:rtl/>
        </w:rPr>
        <w:fldChar w:fldCharType="end"/>
      </w:r>
      <w:r w:rsidR="00E76206">
        <w:rPr>
          <w:rFonts w:cs="David" w:hint="cs"/>
          <w:sz w:val="24"/>
          <w:szCs w:val="24"/>
          <w:rtl/>
        </w:rPr>
        <w:t xml:space="preserve"> להלן. עם זאת, </w:t>
      </w:r>
      <w:r w:rsidR="00553203">
        <w:rPr>
          <w:rFonts w:cs="David" w:hint="cs"/>
          <w:sz w:val="24"/>
          <w:szCs w:val="24"/>
          <w:rtl/>
        </w:rPr>
        <w:t>יודגש</w:t>
      </w:r>
      <w:r w:rsidR="00E76206">
        <w:rPr>
          <w:rFonts w:cs="David" w:hint="cs"/>
          <w:sz w:val="24"/>
          <w:szCs w:val="24"/>
          <w:rtl/>
        </w:rPr>
        <w:t xml:space="preserve"> כבר עכשיו, </w:t>
      </w:r>
      <w:r w:rsidR="00E76206">
        <w:rPr>
          <w:rFonts w:cs="David" w:hint="cs"/>
          <w:sz w:val="24"/>
          <w:szCs w:val="24"/>
          <w:rtl/>
        </w:rPr>
        <w:lastRenderedPageBreak/>
        <w:t>כי</w:t>
      </w:r>
      <w:r w:rsidR="009A4E82">
        <w:rPr>
          <w:rFonts w:cs="David" w:hint="cs"/>
          <w:sz w:val="24"/>
          <w:szCs w:val="24"/>
          <w:rtl/>
        </w:rPr>
        <w:t xml:space="preserve"> לא די בעמידה בדרישות סע' 14(א)(2)</w:t>
      </w:r>
      <w:r w:rsidR="00C85F95">
        <w:rPr>
          <w:rFonts w:cs="David" w:hint="cs"/>
          <w:sz w:val="24"/>
          <w:szCs w:val="24"/>
          <w:rtl/>
        </w:rPr>
        <w:t xml:space="preserve"> (או בדרישות המקבילות שבפטורי הסוג)</w:t>
      </w:r>
      <w:r w:rsidR="009A4E82">
        <w:rPr>
          <w:rFonts w:cs="David" w:hint="cs"/>
          <w:sz w:val="24"/>
          <w:szCs w:val="24"/>
          <w:rtl/>
        </w:rPr>
        <w:t xml:space="preserve"> על-מנת שניתן יהיה להעניק פטור להסדר הכובל; לשם כך יש צורך לעמוד גם בדרישות סע' 14(א)(1)</w:t>
      </w:r>
      <w:r w:rsidR="00C85F95">
        <w:rPr>
          <w:rFonts w:cs="David" w:hint="cs"/>
          <w:sz w:val="24"/>
          <w:szCs w:val="24"/>
          <w:rtl/>
        </w:rPr>
        <w:t xml:space="preserve"> (או בדרישות הרלוונטיות של פטורי הסוג)</w:t>
      </w:r>
      <w:r w:rsidR="009A4E82">
        <w:rPr>
          <w:rFonts w:cs="David" w:hint="cs"/>
          <w:sz w:val="24"/>
          <w:szCs w:val="24"/>
          <w:rtl/>
        </w:rPr>
        <w:t xml:space="preserve">. </w:t>
      </w:r>
      <w:r w:rsidR="000A3F24">
        <w:rPr>
          <w:rFonts w:cs="David" w:hint="cs"/>
          <w:sz w:val="24"/>
          <w:szCs w:val="24"/>
          <w:rtl/>
        </w:rPr>
        <w:t xml:space="preserve">לעומת זאת, </w:t>
      </w:r>
      <w:r w:rsidR="009A4E82" w:rsidRPr="00196D5C">
        <w:rPr>
          <w:rFonts w:cs="David" w:hint="cs"/>
          <w:b/>
          <w:bCs/>
          <w:sz w:val="24"/>
          <w:szCs w:val="24"/>
          <w:rtl/>
        </w:rPr>
        <w:t>די</w:t>
      </w:r>
      <w:r w:rsidR="009A4E82" w:rsidRPr="00196D5C">
        <w:rPr>
          <w:rFonts w:cs="David"/>
          <w:b/>
          <w:bCs/>
          <w:sz w:val="24"/>
          <w:szCs w:val="24"/>
          <w:rtl/>
        </w:rPr>
        <w:t xml:space="preserve"> </w:t>
      </w:r>
      <w:r w:rsidR="009A4E82" w:rsidRPr="00196D5C">
        <w:rPr>
          <w:rFonts w:cs="David" w:hint="cs"/>
          <w:b/>
          <w:bCs/>
          <w:sz w:val="24"/>
          <w:szCs w:val="24"/>
          <w:rtl/>
        </w:rPr>
        <w:t>באי</w:t>
      </w:r>
      <w:r w:rsidR="009A4E82" w:rsidRPr="00196D5C">
        <w:rPr>
          <w:rFonts w:cs="David"/>
          <w:b/>
          <w:bCs/>
          <w:sz w:val="24"/>
          <w:szCs w:val="24"/>
          <w:rtl/>
        </w:rPr>
        <w:t>-</w:t>
      </w:r>
      <w:r w:rsidR="00E76206" w:rsidRPr="00196D5C">
        <w:rPr>
          <w:rFonts w:cs="David" w:hint="cs"/>
          <w:b/>
          <w:bCs/>
          <w:sz w:val="24"/>
          <w:szCs w:val="24"/>
          <w:rtl/>
        </w:rPr>
        <w:t>עמידה</w:t>
      </w:r>
      <w:r w:rsidR="00E76206" w:rsidRPr="00196D5C">
        <w:rPr>
          <w:rFonts w:cs="David"/>
          <w:b/>
          <w:bCs/>
          <w:sz w:val="24"/>
          <w:szCs w:val="24"/>
          <w:rtl/>
        </w:rPr>
        <w:t xml:space="preserve"> </w:t>
      </w:r>
      <w:r w:rsidR="00E76206" w:rsidRPr="00196D5C">
        <w:rPr>
          <w:rFonts w:cs="David" w:hint="cs"/>
          <w:b/>
          <w:bCs/>
          <w:sz w:val="24"/>
          <w:szCs w:val="24"/>
          <w:rtl/>
        </w:rPr>
        <w:t>בדרישות</w:t>
      </w:r>
      <w:r w:rsidR="00E76206" w:rsidRPr="00196D5C">
        <w:rPr>
          <w:rFonts w:cs="David"/>
          <w:b/>
          <w:bCs/>
          <w:sz w:val="24"/>
          <w:szCs w:val="24"/>
          <w:rtl/>
        </w:rPr>
        <w:t xml:space="preserve"> </w:t>
      </w:r>
      <w:r w:rsidR="00E76206" w:rsidRPr="00196D5C">
        <w:rPr>
          <w:rFonts w:cs="David" w:hint="cs"/>
          <w:b/>
          <w:bCs/>
          <w:sz w:val="24"/>
          <w:szCs w:val="24"/>
          <w:rtl/>
        </w:rPr>
        <w:t>סע</w:t>
      </w:r>
      <w:r w:rsidR="00E76206" w:rsidRPr="00196D5C">
        <w:rPr>
          <w:rFonts w:cs="David"/>
          <w:b/>
          <w:bCs/>
          <w:sz w:val="24"/>
          <w:szCs w:val="24"/>
          <w:rtl/>
        </w:rPr>
        <w:t>' 14(</w:t>
      </w:r>
      <w:r w:rsidR="00E76206" w:rsidRPr="00196D5C">
        <w:rPr>
          <w:rFonts w:cs="David" w:hint="cs"/>
          <w:b/>
          <w:bCs/>
          <w:sz w:val="24"/>
          <w:szCs w:val="24"/>
          <w:rtl/>
        </w:rPr>
        <w:t>א</w:t>
      </w:r>
      <w:r w:rsidR="00E76206" w:rsidRPr="00196D5C">
        <w:rPr>
          <w:rFonts w:cs="David"/>
          <w:b/>
          <w:bCs/>
          <w:sz w:val="24"/>
          <w:szCs w:val="24"/>
          <w:rtl/>
        </w:rPr>
        <w:t>)(2)</w:t>
      </w:r>
      <w:r w:rsidR="00811B42">
        <w:rPr>
          <w:rFonts w:cs="David" w:hint="cs"/>
          <w:b/>
          <w:bCs/>
          <w:sz w:val="24"/>
          <w:szCs w:val="24"/>
          <w:rtl/>
        </w:rPr>
        <w:t xml:space="preserve"> (או בדרישות </w:t>
      </w:r>
      <w:r w:rsidR="00475AC4">
        <w:rPr>
          <w:rFonts w:cs="David" w:hint="cs"/>
          <w:b/>
          <w:bCs/>
          <w:sz w:val="24"/>
          <w:szCs w:val="24"/>
          <w:rtl/>
        </w:rPr>
        <w:t xml:space="preserve"> ה</w:t>
      </w:r>
      <w:r w:rsidR="00811B42">
        <w:rPr>
          <w:rFonts w:cs="David" w:hint="cs"/>
          <w:b/>
          <w:bCs/>
          <w:sz w:val="24"/>
          <w:szCs w:val="24"/>
          <w:rtl/>
        </w:rPr>
        <w:t>מקביל</w:t>
      </w:r>
      <w:r w:rsidR="00475AC4">
        <w:rPr>
          <w:rFonts w:cs="David" w:hint="cs"/>
          <w:b/>
          <w:bCs/>
          <w:sz w:val="24"/>
          <w:szCs w:val="24"/>
          <w:rtl/>
        </w:rPr>
        <w:t>ות</w:t>
      </w:r>
      <w:r w:rsidR="00811B42">
        <w:rPr>
          <w:rFonts w:cs="David" w:hint="cs"/>
          <w:b/>
          <w:bCs/>
          <w:sz w:val="24"/>
          <w:szCs w:val="24"/>
          <w:rtl/>
        </w:rPr>
        <w:t xml:space="preserve"> בפטורי הסוג</w:t>
      </w:r>
      <w:r w:rsidR="0051248C">
        <w:rPr>
          <w:rFonts w:cs="David" w:hint="cs"/>
          <w:b/>
          <w:bCs/>
          <w:sz w:val="24"/>
          <w:szCs w:val="24"/>
          <w:rtl/>
        </w:rPr>
        <w:t>)</w:t>
      </w:r>
      <w:r w:rsidR="00E76206" w:rsidRPr="00196D5C">
        <w:rPr>
          <w:rFonts w:cs="David"/>
          <w:b/>
          <w:bCs/>
          <w:sz w:val="24"/>
          <w:szCs w:val="24"/>
          <w:rtl/>
        </w:rPr>
        <w:t xml:space="preserve"> </w:t>
      </w:r>
      <w:r w:rsidR="000A3F24" w:rsidRPr="00196D5C">
        <w:rPr>
          <w:rFonts w:cs="David" w:hint="cs"/>
          <w:b/>
          <w:bCs/>
          <w:sz w:val="24"/>
          <w:szCs w:val="24"/>
          <w:rtl/>
        </w:rPr>
        <w:t>כדי</w:t>
      </w:r>
      <w:r w:rsidR="009A4E82" w:rsidRPr="00196D5C">
        <w:rPr>
          <w:rFonts w:cs="David"/>
          <w:b/>
          <w:bCs/>
          <w:sz w:val="24"/>
          <w:szCs w:val="24"/>
          <w:rtl/>
        </w:rPr>
        <w:t xml:space="preserve"> </w:t>
      </w:r>
      <w:r w:rsidR="009A4E82" w:rsidRPr="00196D5C">
        <w:rPr>
          <w:rFonts w:cs="David" w:hint="cs"/>
          <w:b/>
          <w:bCs/>
          <w:sz w:val="24"/>
          <w:szCs w:val="24"/>
          <w:rtl/>
        </w:rPr>
        <w:t>ל</w:t>
      </w:r>
      <w:r w:rsidR="00B9579E">
        <w:rPr>
          <w:rFonts w:cs="David" w:hint="cs"/>
          <w:b/>
          <w:bCs/>
          <w:sz w:val="24"/>
          <w:szCs w:val="24"/>
          <w:rtl/>
        </w:rPr>
        <w:t xml:space="preserve">קבוע כי ההסדר </w:t>
      </w:r>
      <w:r>
        <w:rPr>
          <w:rFonts w:cs="David" w:hint="cs"/>
          <w:b/>
          <w:bCs/>
          <w:sz w:val="24"/>
          <w:szCs w:val="24"/>
          <w:rtl/>
        </w:rPr>
        <w:t>אינו ראוי לפטור פרטני ו</w:t>
      </w:r>
      <w:r w:rsidR="00B9579E">
        <w:rPr>
          <w:rFonts w:cs="David" w:hint="cs"/>
          <w:b/>
          <w:bCs/>
          <w:sz w:val="24"/>
          <w:szCs w:val="24"/>
          <w:rtl/>
        </w:rPr>
        <w:t>אינו חוסה תחת מי מפטורי הסוג</w:t>
      </w:r>
      <w:r w:rsidR="009A4E82" w:rsidRPr="00196D5C">
        <w:rPr>
          <w:rFonts w:cs="David"/>
          <w:b/>
          <w:bCs/>
          <w:sz w:val="24"/>
          <w:szCs w:val="24"/>
          <w:rtl/>
        </w:rPr>
        <w:t xml:space="preserve">. </w:t>
      </w:r>
      <w:r w:rsidR="000A3F24" w:rsidRPr="00196D5C">
        <w:rPr>
          <w:rFonts w:cs="David"/>
          <w:b/>
          <w:bCs/>
          <w:sz w:val="24"/>
          <w:szCs w:val="24"/>
          <w:rtl/>
        </w:rPr>
        <w:t xml:space="preserve"> </w:t>
      </w:r>
      <w:r w:rsidR="00E76206">
        <w:rPr>
          <w:rFonts w:cs="David" w:hint="cs"/>
          <w:sz w:val="24"/>
          <w:szCs w:val="24"/>
          <w:rtl/>
        </w:rPr>
        <w:t xml:space="preserve"> </w:t>
      </w:r>
    </w:p>
    <w:p w14:paraId="24688DC4" w14:textId="6099D67A" w:rsidR="00EF54DF" w:rsidRDefault="00EF54DF" w:rsidP="00160B40">
      <w:pPr>
        <w:spacing w:before="240" w:after="0" w:line="360" w:lineRule="auto"/>
        <w:jc w:val="both"/>
        <w:rPr>
          <w:rFonts w:cs="David"/>
          <w:sz w:val="24"/>
          <w:szCs w:val="24"/>
          <w:rtl/>
        </w:rPr>
      </w:pPr>
      <w:r>
        <w:rPr>
          <w:rFonts w:cs="David" w:hint="cs"/>
          <w:sz w:val="24"/>
          <w:szCs w:val="24"/>
          <w:rtl/>
        </w:rPr>
        <w:t>מובן שסע</w:t>
      </w:r>
      <w:r w:rsidR="00160B40">
        <w:rPr>
          <w:rFonts w:cs="David" w:hint="cs"/>
          <w:sz w:val="24"/>
          <w:szCs w:val="24"/>
          <w:rtl/>
        </w:rPr>
        <w:t>'</w:t>
      </w:r>
      <w:r>
        <w:rPr>
          <w:rFonts w:cs="David" w:hint="cs"/>
          <w:sz w:val="24"/>
          <w:szCs w:val="24"/>
          <w:rtl/>
        </w:rPr>
        <w:t xml:space="preserve"> 14(א)(2) ומקביליו רלוונטיים להסדרים שהם הסדרים כובלים על-פי סע' 2 לחוק. הדיון בגילוי דעת זה אינו עוסק בשאלה מתי הסדר יוגדר כהסדר כובל לפי סע' 2 לחוק, והוא יוצא מנקודת ההנחה שההסדרים שבהם הוא דן </w:t>
      </w:r>
      <w:r>
        <w:rPr>
          <w:rFonts w:cs="David"/>
          <w:sz w:val="24"/>
          <w:szCs w:val="24"/>
          <w:rtl/>
        </w:rPr>
        <w:t>–</w:t>
      </w:r>
      <w:r>
        <w:rPr>
          <w:rFonts w:cs="David" w:hint="cs"/>
          <w:sz w:val="24"/>
          <w:szCs w:val="24"/>
          <w:rtl/>
        </w:rPr>
        <w:t xml:space="preserve"> הסדרים כובלים הם. </w:t>
      </w:r>
    </w:p>
    <w:p w14:paraId="528FF5A1" w14:textId="46C7A3BB" w:rsidR="00005895" w:rsidRPr="00B355AE" w:rsidRDefault="00B355AE" w:rsidP="009D78E7">
      <w:pPr>
        <w:pStyle w:val="Heading2"/>
        <w:rPr>
          <w:rtl/>
        </w:rPr>
      </w:pPr>
      <w:r>
        <w:rPr>
          <w:rFonts w:hint="cs"/>
          <w:rtl/>
        </w:rPr>
        <w:t>סעיף 14(א)(2) ל</w:t>
      </w:r>
      <w:bookmarkStart w:id="1" w:name="_GoBack"/>
      <w:bookmarkEnd w:id="1"/>
      <w:r>
        <w:rPr>
          <w:rFonts w:hint="cs"/>
          <w:rtl/>
        </w:rPr>
        <w:t xml:space="preserve">חוק </w:t>
      </w:r>
      <w:r>
        <w:rPr>
          <w:rtl/>
        </w:rPr>
        <w:t>–</w:t>
      </w:r>
      <w:r>
        <w:rPr>
          <w:rFonts w:hint="cs"/>
          <w:rtl/>
        </w:rPr>
        <w:t xml:space="preserve"> </w:t>
      </w:r>
      <w:r w:rsidR="0081294F">
        <w:rPr>
          <w:rFonts w:hint="cs"/>
          <w:rtl/>
        </w:rPr>
        <w:t xml:space="preserve">רישא וסיפא </w:t>
      </w:r>
    </w:p>
    <w:p w14:paraId="19FF1705" w14:textId="0246D26D" w:rsidR="0081294F" w:rsidRPr="005E0730" w:rsidRDefault="0081294F" w:rsidP="003034BC">
      <w:pPr>
        <w:spacing w:before="240" w:after="0" w:line="360" w:lineRule="auto"/>
        <w:jc w:val="both"/>
        <w:rPr>
          <w:rFonts w:cs="David"/>
          <w:sz w:val="24"/>
          <w:szCs w:val="24"/>
          <w:rtl/>
        </w:rPr>
      </w:pPr>
      <w:r>
        <w:rPr>
          <w:rFonts w:cs="David" w:hint="cs"/>
          <w:sz w:val="24"/>
          <w:szCs w:val="24"/>
          <w:rtl/>
        </w:rPr>
        <w:t>סעיף 14(א)(2) לחוק מורכב מרישא (</w:t>
      </w:r>
      <w:r>
        <w:rPr>
          <w:rFonts w:cs="David" w:hint="cs"/>
          <w:b/>
          <w:bCs/>
          <w:sz w:val="24"/>
          <w:szCs w:val="24"/>
          <w:rtl/>
        </w:rPr>
        <w:t>"עיקרו של ההסדר הכובל אינו בהפחתת התחרות או במניעתה"</w:t>
      </w:r>
      <w:r>
        <w:rPr>
          <w:rFonts w:cs="David" w:hint="cs"/>
          <w:sz w:val="24"/>
          <w:szCs w:val="24"/>
          <w:rtl/>
        </w:rPr>
        <w:t>) ומסיפא (</w:t>
      </w:r>
      <w:r>
        <w:rPr>
          <w:rFonts w:cs="David" w:hint="cs"/>
          <w:b/>
          <w:bCs/>
          <w:sz w:val="24"/>
          <w:szCs w:val="24"/>
          <w:rtl/>
        </w:rPr>
        <w:t>"ואין בו כבילות שאינן נחוצות למימוש עיקרו"</w:t>
      </w:r>
      <w:r>
        <w:rPr>
          <w:rFonts w:cs="David" w:hint="cs"/>
          <w:sz w:val="24"/>
          <w:szCs w:val="24"/>
          <w:rtl/>
        </w:rPr>
        <w:t xml:space="preserve">). </w:t>
      </w:r>
      <w:r w:rsidR="006A6F3C">
        <w:rPr>
          <w:rFonts w:cs="David" w:hint="cs"/>
          <w:sz w:val="24"/>
          <w:szCs w:val="24"/>
          <w:rtl/>
        </w:rPr>
        <w:t xml:space="preserve">כפי שיפורט להלן, </w:t>
      </w:r>
      <w:r w:rsidR="005E0730">
        <w:rPr>
          <w:rFonts w:cs="David" w:hint="cs"/>
          <w:sz w:val="24"/>
          <w:szCs w:val="24"/>
          <w:rtl/>
        </w:rPr>
        <w:t xml:space="preserve">הרישא </w:t>
      </w:r>
      <w:r w:rsidR="003E1EDE">
        <w:rPr>
          <w:rFonts w:cs="David" w:hint="cs"/>
          <w:sz w:val="24"/>
          <w:szCs w:val="24"/>
          <w:rtl/>
        </w:rPr>
        <w:t xml:space="preserve">של סע' 14(א)(2) </w:t>
      </w:r>
      <w:r w:rsidR="005E0730">
        <w:rPr>
          <w:rFonts w:cs="David" w:hint="cs"/>
          <w:sz w:val="24"/>
          <w:szCs w:val="24"/>
          <w:rtl/>
        </w:rPr>
        <w:t xml:space="preserve">דורש כי להסדר יהיה </w:t>
      </w:r>
      <w:r w:rsidR="00087C84">
        <w:rPr>
          <w:rFonts w:cs="David" w:hint="cs"/>
          <w:b/>
          <w:bCs/>
          <w:sz w:val="24"/>
          <w:szCs w:val="24"/>
          <w:rtl/>
        </w:rPr>
        <w:t>"</w:t>
      </w:r>
      <w:r w:rsidR="005E0730">
        <w:rPr>
          <w:rFonts w:cs="David" w:hint="cs"/>
          <w:b/>
          <w:bCs/>
          <w:sz w:val="24"/>
          <w:szCs w:val="24"/>
          <w:rtl/>
        </w:rPr>
        <w:t>עיקר</w:t>
      </w:r>
      <w:r w:rsidR="00087C84">
        <w:rPr>
          <w:rFonts w:cs="David" w:hint="cs"/>
          <w:b/>
          <w:bCs/>
          <w:sz w:val="24"/>
          <w:szCs w:val="24"/>
          <w:rtl/>
        </w:rPr>
        <w:t>"</w:t>
      </w:r>
      <w:r w:rsidR="005E0730">
        <w:rPr>
          <w:rFonts w:cs="David" w:hint="cs"/>
          <w:sz w:val="24"/>
          <w:szCs w:val="24"/>
          <w:rtl/>
        </w:rPr>
        <w:t xml:space="preserve"> שאינו </w:t>
      </w:r>
      <w:r w:rsidR="003D6E1F">
        <w:rPr>
          <w:rFonts w:cs="David" w:hint="cs"/>
          <w:sz w:val="24"/>
          <w:szCs w:val="24"/>
          <w:rtl/>
        </w:rPr>
        <w:t xml:space="preserve">בעצמו </w:t>
      </w:r>
      <w:r w:rsidR="005E0730">
        <w:rPr>
          <w:rFonts w:cs="David" w:hint="cs"/>
          <w:sz w:val="24"/>
          <w:szCs w:val="24"/>
          <w:rtl/>
        </w:rPr>
        <w:t>הפחתת התחרות או מניעתה</w:t>
      </w:r>
      <w:r w:rsidR="003E1EDE">
        <w:rPr>
          <w:rFonts w:cs="David" w:hint="cs"/>
          <w:sz w:val="24"/>
          <w:szCs w:val="24"/>
          <w:rtl/>
        </w:rPr>
        <w:t>.</w:t>
      </w:r>
      <w:r w:rsidR="000E2A53">
        <w:rPr>
          <w:rFonts w:cs="David" w:hint="cs"/>
          <w:sz w:val="24"/>
          <w:szCs w:val="24"/>
          <w:rtl/>
        </w:rPr>
        <w:t xml:space="preserve"> במילים אחרות, דר</w:t>
      </w:r>
      <w:r w:rsidR="003E1EDE">
        <w:rPr>
          <w:rFonts w:cs="David" w:hint="cs"/>
          <w:sz w:val="24"/>
          <w:szCs w:val="24"/>
          <w:rtl/>
        </w:rPr>
        <w:t>ו</w:t>
      </w:r>
      <w:r w:rsidR="000E2A53">
        <w:rPr>
          <w:rFonts w:cs="David" w:hint="cs"/>
          <w:sz w:val="24"/>
          <w:szCs w:val="24"/>
          <w:rtl/>
        </w:rPr>
        <w:t>ש ש</w:t>
      </w:r>
      <w:r w:rsidR="003E1EDE">
        <w:rPr>
          <w:rFonts w:cs="David" w:hint="cs"/>
          <w:sz w:val="24"/>
          <w:szCs w:val="24"/>
          <w:rtl/>
        </w:rPr>
        <w:t xml:space="preserve">להסדר </w:t>
      </w:r>
      <w:r w:rsidR="000E2A53">
        <w:rPr>
          <w:rFonts w:cs="David" w:hint="cs"/>
          <w:sz w:val="24"/>
          <w:szCs w:val="24"/>
          <w:rtl/>
        </w:rPr>
        <w:t xml:space="preserve">יהיה </w:t>
      </w:r>
      <w:r w:rsidR="000E2A53">
        <w:rPr>
          <w:rFonts w:cs="David" w:hint="cs"/>
          <w:b/>
          <w:bCs/>
          <w:sz w:val="24"/>
          <w:szCs w:val="24"/>
          <w:rtl/>
        </w:rPr>
        <w:t>"עיקר"</w:t>
      </w:r>
      <w:r w:rsidR="003E1EDE">
        <w:rPr>
          <w:rFonts w:cs="David" w:hint="cs"/>
          <w:sz w:val="24"/>
          <w:szCs w:val="24"/>
          <w:rtl/>
        </w:rPr>
        <w:t xml:space="preserve"> </w:t>
      </w:r>
      <w:r w:rsidR="003034BC">
        <w:rPr>
          <w:rFonts w:cs="David" w:hint="cs"/>
          <w:sz w:val="24"/>
          <w:szCs w:val="24"/>
          <w:rtl/>
        </w:rPr>
        <w:t>שהוא</w:t>
      </w:r>
      <w:r w:rsidR="003E1EDE">
        <w:rPr>
          <w:rFonts w:cs="David" w:hint="cs"/>
          <w:sz w:val="24"/>
          <w:szCs w:val="24"/>
          <w:rtl/>
        </w:rPr>
        <w:t xml:space="preserve"> </w:t>
      </w:r>
      <w:r w:rsidR="005E0730">
        <w:rPr>
          <w:rFonts w:cs="David" w:hint="cs"/>
          <w:sz w:val="24"/>
          <w:szCs w:val="24"/>
          <w:rtl/>
        </w:rPr>
        <w:t>עסקה</w:t>
      </w:r>
      <w:r w:rsidR="00E26E41">
        <w:rPr>
          <w:rFonts w:cs="David" w:hint="cs"/>
          <w:sz w:val="24"/>
          <w:szCs w:val="24"/>
          <w:rtl/>
        </w:rPr>
        <w:t xml:space="preserve"> של שיתוף-פעולה</w:t>
      </w:r>
      <w:r w:rsidR="005E0730">
        <w:rPr>
          <w:rFonts w:cs="David" w:hint="cs"/>
          <w:sz w:val="24"/>
          <w:szCs w:val="24"/>
          <w:rtl/>
        </w:rPr>
        <w:t xml:space="preserve"> לגיטימי, לדוגמ</w:t>
      </w:r>
      <w:r w:rsidR="003D6E1F">
        <w:rPr>
          <w:rFonts w:cs="David" w:hint="cs"/>
          <w:sz w:val="24"/>
          <w:szCs w:val="24"/>
          <w:rtl/>
        </w:rPr>
        <w:t>ה</w:t>
      </w:r>
      <w:r w:rsidR="005E0730">
        <w:rPr>
          <w:rFonts w:cs="David" w:hint="cs"/>
          <w:sz w:val="24"/>
          <w:szCs w:val="24"/>
          <w:rtl/>
        </w:rPr>
        <w:t xml:space="preserve"> מיזם משותף לייעול תהליכי ייצור.</w:t>
      </w:r>
      <w:r w:rsidR="003D6E1F">
        <w:rPr>
          <w:rFonts w:cs="David" w:hint="cs"/>
          <w:sz w:val="24"/>
          <w:szCs w:val="24"/>
          <w:rtl/>
        </w:rPr>
        <w:t xml:space="preserve"> </w:t>
      </w:r>
      <w:r w:rsidR="005E0730">
        <w:rPr>
          <w:rFonts w:cs="David" w:hint="cs"/>
          <w:sz w:val="24"/>
          <w:szCs w:val="24"/>
          <w:rtl/>
        </w:rPr>
        <w:t>הסיפא</w:t>
      </w:r>
      <w:r w:rsidR="003E1EDE">
        <w:rPr>
          <w:rFonts w:cs="David" w:hint="cs"/>
          <w:sz w:val="24"/>
          <w:szCs w:val="24"/>
          <w:rtl/>
        </w:rPr>
        <w:t xml:space="preserve"> של סע' 14(א)(2)</w:t>
      </w:r>
      <w:r w:rsidR="005E0730">
        <w:rPr>
          <w:rFonts w:cs="David" w:hint="cs"/>
          <w:sz w:val="24"/>
          <w:szCs w:val="24"/>
          <w:rtl/>
        </w:rPr>
        <w:t xml:space="preserve"> דורש כי כל כבילה</w:t>
      </w:r>
      <w:bookmarkStart w:id="2" w:name="_Ref512270387"/>
      <w:r w:rsidR="003034BC">
        <w:rPr>
          <w:rStyle w:val="FootnoteReference"/>
          <w:rFonts w:cs="David"/>
          <w:sz w:val="24"/>
          <w:szCs w:val="24"/>
          <w:rtl/>
        </w:rPr>
        <w:footnoteReference w:id="6"/>
      </w:r>
      <w:bookmarkEnd w:id="2"/>
      <w:r w:rsidR="005E0730">
        <w:rPr>
          <w:rFonts w:cs="David" w:hint="cs"/>
          <w:sz w:val="24"/>
          <w:szCs w:val="24"/>
          <w:rtl/>
        </w:rPr>
        <w:t xml:space="preserve"> הכלולה בהסדר תהיה נחוצה לשם מימוש עיקרו של ההסדר</w:t>
      </w:r>
      <w:r w:rsidR="00BD62B3">
        <w:rPr>
          <w:rFonts w:cs="David" w:hint="cs"/>
          <w:sz w:val="24"/>
          <w:szCs w:val="24"/>
          <w:rtl/>
        </w:rPr>
        <w:t>;</w:t>
      </w:r>
      <w:r w:rsidR="005E0730">
        <w:rPr>
          <w:rFonts w:cs="David" w:hint="cs"/>
          <w:sz w:val="24"/>
          <w:szCs w:val="24"/>
          <w:rtl/>
        </w:rPr>
        <w:t xml:space="preserve"> לפי ה</w:t>
      </w:r>
      <w:r w:rsidR="00B50FB5">
        <w:rPr>
          <w:rFonts w:cs="David" w:hint="cs"/>
          <w:sz w:val="24"/>
          <w:szCs w:val="24"/>
          <w:rtl/>
        </w:rPr>
        <w:t>דוגמה</w:t>
      </w:r>
      <w:r w:rsidR="005E0730">
        <w:rPr>
          <w:rFonts w:cs="David" w:hint="cs"/>
          <w:sz w:val="24"/>
          <w:szCs w:val="24"/>
          <w:rtl/>
        </w:rPr>
        <w:t xml:space="preserve"> של מיזם משותף לייעול תהליכי ייצור, הסיפא דורש כי כל כבילה הכלולה בהסדר תהיה נחוצה לשם הצלחתו של אותו מיזם משותף לייעול תהליכי ייצור, שהוא </w:t>
      </w:r>
      <w:r w:rsidR="007D0D19">
        <w:rPr>
          <w:rFonts w:cs="David" w:hint="cs"/>
          <w:b/>
          <w:bCs/>
          <w:sz w:val="24"/>
          <w:szCs w:val="24"/>
          <w:rtl/>
        </w:rPr>
        <w:t>"עיקרו של ההסדר"</w:t>
      </w:r>
      <w:r w:rsidR="005E0730">
        <w:rPr>
          <w:rFonts w:cs="David" w:hint="cs"/>
          <w:sz w:val="24"/>
          <w:szCs w:val="24"/>
          <w:rtl/>
        </w:rPr>
        <w:t>.</w:t>
      </w:r>
    </w:p>
    <w:p w14:paraId="77CF0AFC" w14:textId="77777777" w:rsidR="00B355AE" w:rsidRDefault="00B355AE" w:rsidP="00706BC9">
      <w:pPr>
        <w:spacing w:before="240" w:after="0" w:line="360" w:lineRule="auto"/>
        <w:jc w:val="both"/>
        <w:rPr>
          <w:rFonts w:cs="David"/>
          <w:sz w:val="24"/>
          <w:szCs w:val="24"/>
          <w:rtl/>
        </w:rPr>
      </w:pPr>
      <w:r>
        <w:rPr>
          <w:rFonts w:cs="David" w:hint="cs"/>
          <w:sz w:val="24"/>
          <w:szCs w:val="24"/>
          <w:rtl/>
        </w:rPr>
        <w:t xml:space="preserve">סעיף 14(א)(2) נוסף לחוק כחלק מתיקון רחב יותר </w:t>
      </w:r>
      <w:proofErr w:type="spellStart"/>
      <w:r>
        <w:rPr>
          <w:rFonts w:cs="David" w:hint="cs"/>
          <w:sz w:val="24"/>
          <w:szCs w:val="24"/>
          <w:rtl/>
        </w:rPr>
        <w:t>לסע</w:t>
      </w:r>
      <w:proofErr w:type="spellEnd"/>
      <w:r>
        <w:rPr>
          <w:rFonts w:cs="David" w:hint="cs"/>
          <w:sz w:val="24"/>
          <w:szCs w:val="24"/>
          <w:rtl/>
        </w:rPr>
        <w:t>' 14 שנעשה במסגרת חוק ההגבלים ה</w:t>
      </w:r>
      <w:r w:rsidR="0072741A">
        <w:rPr>
          <w:rFonts w:cs="David" w:hint="cs"/>
          <w:sz w:val="24"/>
          <w:szCs w:val="24"/>
          <w:rtl/>
        </w:rPr>
        <w:t>ע</w:t>
      </w:r>
      <w:r>
        <w:rPr>
          <w:rFonts w:cs="David" w:hint="cs"/>
          <w:sz w:val="24"/>
          <w:szCs w:val="24"/>
          <w:rtl/>
        </w:rPr>
        <w:t>סקיים (תיקון מס' 6), תש"ס-2000.</w:t>
      </w:r>
      <w:r>
        <w:rPr>
          <w:rStyle w:val="FootnoteReference"/>
          <w:rFonts w:cs="David"/>
          <w:sz w:val="24"/>
          <w:szCs w:val="24"/>
          <w:rtl/>
        </w:rPr>
        <w:footnoteReference w:id="7"/>
      </w:r>
      <w:r>
        <w:rPr>
          <w:rFonts w:cs="David" w:hint="cs"/>
          <w:sz w:val="24"/>
          <w:szCs w:val="24"/>
          <w:rtl/>
        </w:rPr>
        <w:t xml:space="preserve">  בהחלט</w:t>
      </w:r>
      <w:r w:rsidR="00090493">
        <w:rPr>
          <w:rFonts w:cs="David" w:hint="cs"/>
          <w:sz w:val="24"/>
          <w:szCs w:val="24"/>
          <w:rtl/>
        </w:rPr>
        <w:t xml:space="preserve">תו בעניין </w:t>
      </w:r>
      <w:r w:rsidR="00090493">
        <w:rPr>
          <w:rFonts w:cs="David" w:hint="cs"/>
          <w:b/>
          <w:bCs/>
          <w:sz w:val="24"/>
          <w:szCs w:val="24"/>
          <w:rtl/>
        </w:rPr>
        <w:t>ים תטיס</w:t>
      </w:r>
      <w:r>
        <w:rPr>
          <w:rFonts w:cs="David" w:hint="cs"/>
          <w:sz w:val="24"/>
          <w:szCs w:val="24"/>
          <w:rtl/>
        </w:rPr>
        <w:t xml:space="preserve"> מאותה שנה</w:t>
      </w:r>
      <w:r w:rsidR="00090493">
        <w:rPr>
          <w:rFonts w:cs="David" w:hint="cs"/>
          <w:sz w:val="24"/>
          <w:szCs w:val="24"/>
          <w:rtl/>
        </w:rPr>
        <w:t>,</w:t>
      </w:r>
      <w:r>
        <w:rPr>
          <w:rFonts w:cs="David" w:hint="cs"/>
          <w:sz w:val="24"/>
          <w:szCs w:val="24"/>
          <w:rtl/>
        </w:rPr>
        <w:t xml:space="preserve"> נדרש הממונה למהות התיקון </w:t>
      </w:r>
      <w:proofErr w:type="spellStart"/>
      <w:r>
        <w:rPr>
          <w:rFonts w:cs="David" w:hint="cs"/>
          <w:sz w:val="24"/>
          <w:szCs w:val="24"/>
          <w:rtl/>
        </w:rPr>
        <w:t>לסע</w:t>
      </w:r>
      <w:proofErr w:type="spellEnd"/>
      <w:r>
        <w:rPr>
          <w:rFonts w:cs="David" w:hint="cs"/>
          <w:sz w:val="24"/>
          <w:szCs w:val="24"/>
          <w:rtl/>
        </w:rPr>
        <w:t>' 14 ובין השאר כתב כך</w:t>
      </w:r>
      <w:r w:rsidR="0049520E">
        <w:rPr>
          <w:rFonts w:cs="David" w:hint="cs"/>
          <w:sz w:val="24"/>
          <w:szCs w:val="24"/>
          <w:rtl/>
        </w:rPr>
        <w:t>:</w:t>
      </w:r>
      <w:bookmarkStart w:id="3" w:name="_Ref494114987"/>
      <w:r>
        <w:rPr>
          <w:rStyle w:val="FootnoteReference"/>
          <w:rFonts w:cs="David"/>
          <w:sz w:val="24"/>
          <w:szCs w:val="24"/>
          <w:rtl/>
        </w:rPr>
        <w:footnoteReference w:id="8"/>
      </w:r>
      <w:bookmarkEnd w:id="3"/>
    </w:p>
    <w:p w14:paraId="5CE55C28" w14:textId="2CC0ACD9" w:rsidR="009B2A08" w:rsidRPr="00B9207A" w:rsidRDefault="0049520E" w:rsidP="009557D4">
      <w:pPr>
        <w:pStyle w:val="Quote"/>
        <w:rPr>
          <w:rtl/>
        </w:rPr>
      </w:pPr>
      <w:r w:rsidRPr="00B9207A">
        <w:rPr>
          <w:rFonts w:hint="cs"/>
          <w:rtl/>
        </w:rPr>
        <w:t xml:space="preserve">סעיף 14(א)(2) לחוק עיגן עקרון חשוב נוסף אל תוך חוק ההגבלים העסקיים: האבחנה בין כבילה </w:t>
      </w:r>
      <w:proofErr w:type="spellStart"/>
      <w:r w:rsidRPr="00B9207A">
        <w:rPr>
          <w:rFonts w:hint="cs"/>
          <w:rtl/>
        </w:rPr>
        <w:t>נילווית</w:t>
      </w:r>
      <w:proofErr w:type="spellEnd"/>
      <w:r w:rsidRPr="00B9207A">
        <w:rPr>
          <w:rFonts w:hint="cs"/>
          <w:rtl/>
        </w:rPr>
        <w:t xml:space="preserve"> לכבילה עירומה </w:t>
      </w:r>
      <w:proofErr w:type="spellStart"/>
      <w:r w:rsidRPr="00B9207A">
        <w:rPr>
          <w:rFonts w:hint="cs"/>
          <w:rtl/>
        </w:rPr>
        <w:t>ופסלותה</w:t>
      </w:r>
      <w:proofErr w:type="spellEnd"/>
      <w:r w:rsidRPr="00B9207A">
        <w:rPr>
          <w:rFonts w:hint="cs"/>
          <w:rtl/>
        </w:rPr>
        <w:t xml:space="preserve"> של ה</w:t>
      </w:r>
      <w:r w:rsidR="00E932B9">
        <w:rPr>
          <w:rFonts w:hint="cs"/>
          <w:rtl/>
        </w:rPr>
        <w:t>א</w:t>
      </w:r>
      <w:r w:rsidRPr="00B9207A">
        <w:rPr>
          <w:rFonts w:hint="cs"/>
          <w:rtl/>
        </w:rPr>
        <w:t>חרונה. כבילות נלוות ("</w:t>
      </w:r>
      <w:r w:rsidRPr="00493C96">
        <w:rPr>
          <w:rFonts w:asciiTheme="majorBidi" w:hAnsiTheme="majorBidi" w:cstheme="majorBidi"/>
        </w:rPr>
        <w:t>ancillary restraints</w:t>
      </w:r>
      <w:r w:rsidRPr="00B9207A">
        <w:rPr>
          <w:rFonts w:hint="cs"/>
          <w:rtl/>
        </w:rPr>
        <w:t>") הן אלה הנחשבות חיוניות לביצוע ההסדר, מטרת</w:t>
      </w:r>
      <w:r w:rsidR="00AB30E1">
        <w:rPr>
          <w:rFonts w:hint="cs"/>
          <w:rtl/>
        </w:rPr>
        <w:t>ן</w:t>
      </w:r>
      <w:r w:rsidRPr="00B9207A">
        <w:rPr>
          <w:rFonts w:hint="cs"/>
          <w:rtl/>
        </w:rPr>
        <w:t xml:space="preserve"> אינה הפחתת התחרות, ותוצאותיהן מחויבות המציאות העסקית. כבילות עירומות ("</w:t>
      </w:r>
      <w:r w:rsidRPr="00493C96">
        <w:rPr>
          <w:rFonts w:asciiTheme="majorBidi" w:hAnsiTheme="majorBidi" w:cstheme="majorBidi"/>
        </w:rPr>
        <w:t>naked restraints</w:t>
      </w:r>
      <w:r w:rsidRPr="00B9207A">
        <w:rPr>
          <w:rFonts w:hint="cs"/>
          <w:rtl/>
        </w:rPr>
        <w:t>") הן אלה שבסיסן הסדר שאינו הכרחי לביצוע העסקה</w:t>
      </w:r>
      <w:r w:rsidR="0072741A">
        <w:rPr>
          <w:rFonts w:hint="cs"/>
          <w:rtl/>
        </w:rPr>
        <w:t xml:space="preserve"> . .</w:t>
      </w:r>
      <w:r w:rsidR="00E35B19">
        <w:rPr>
          <w:rFonts w:hint="cs"/>
          <w:rtl/>
        </w:rPr>
        <w:t xml:space="preserve"> .</w:t>
      </w:r>
      <w:r w:rsidR="0072741A">
        <w:rPr>
          <w:rFonts w:hint="cs"/>
          <w:rtl/>
        </w:rPr>
        <w:t xml:space="preserve"> </w:t>
      </w:r>
    </w:p>
    <w:p w14:paraId="660D590C" w14:textId="77777777" w:rsidR="0072741A" w:rsidRDefault="0072741A" w:rsidP="009557D4">
      <w:pPr>
        <w:pStyle w:val="Quote"/>
        <w:rPr>
          <w:rtl/>
        </w:rPr>
      </w:pPr>
      <w:r>
        <w:rPr>
          <w:rFonts w:hint="cs"/>
          <w:rtl/>
        </w:rPr>
        <w:t xml:space="preserve">. . . </w:t>
      </w:r>
    </w:p>
    <w:p w14:paraId="291E1E7E" w14:textId="77777777" w:rsidR="00B9207A" w:rsidRPr="00B9207A" w:rsidRDefault="00B9207A" w:rsidP="009557D4">
      <w:pPr>
        <w:pStyle w:val="Quote"/>
        <w:rPr>
          <w:rtl/>
        </w:rPr>
      </w:pPr>
      <w:r w:rsidRPr="00B9207A">
        <w:rPr>
          <w:rFonts w:hint="cs"/>
          <w:rtl/>
        </w:rPr>
        <w:t>אכן, סעיף 14 מבהיר היטב כי כבילות עירומות אינן בסמכות הממונה לפטור . . . .</w:t>
      </w:r>
    </w:p>
    <w:p w14:paraId="6FF25048" w14:textId="68F5C735" w:rsidR="003B3E5E" w:rsidRPr="003B3E5E" w:rsidRDefault="003B3E5E" w:rsidP="00D33A4E">
      <w:pPr>
        <w:keepNext/>
        <w:spacing w:before="240" w:after="0" w:line="360" w:lineRule="auto"/>
        <w:jc w:val="both"/>
        <w:rPr>
          <w:rFonts w:cs="David"/>
          <w:sz w:val="24"/>
          <w:szCs w:val="24"/>
          <w:rtl/>
        </w:rPr>
      </w:pPr>
      <w:r>
        <w:rPr>
          <w:rFonts w:cs="David" w:hint="cs"/>
          <w:sz w:val="24"/>
          <w:szCs w:val="24"/>
          <w:rtl/>
        </w:rPr>
        <w:lastRenderedPageBreak/>
        <w:t xml:space="preserve">בהחלטה בעניין </w:t>
      </w:r>
      <w:r>
        <w:rPr>
          <w:rFonts w:cs="David" w:hint="cs"/>
          <w:b/>
          <w:bCs/>
          <w:sz w:val="24"/>
          <w:szCs w:val="24"/>
          <w:rtl/>
        </w:rPr>
        <w:t>איגוד המוסכים בישראל</w:t>
      </w:r>
      <w:r>
        <w:rPr>
          <w:rFonts w:cs="David" w:hint="cs"/>
          <w:sz w:val="24"/>
          <w:szCs w:val="24"/>
          <w:rtl/>
        </w:rPr>
        <w:t>, כתב הממונה כך:</w:t>
      </w:r>
      <w:bookmarkStart w:id="4" w:name="_Ref513045779"/>
      <w:r>
        <w:rPr>
          <w:rStyle w:val="FootnoteReference"/>
          <w:rFonts w:cs="David"/>
          <w:sz w:val="24"/>
          <w:szCs w:val="24"/>
          <w:rtl/>
        </w:rPr>
        <w:footnoteReference w:id="9"/>
      </w:r>
      <w:bookmarkEnd w:id="4"/>
    </w:p>
    <w:p w14:paraId="3D5FFF07" w14:textId="055D6A89" w:rsidR="003B3E5E" w:rsidRPr="003B3E5E" w:rsidRDefault="003B3E5E" w:rsidP="003B3E5E">
      <w:pPr>
        <w:pStyle w:val="Quote"/>
        <w:rPr>
          <w:b w:val="0"/>
          <w:bCs w:val="0"/>
          <w:rtl/>
        </w:rPr>
      </w:pPr>
      <w:r>
        <w:rPr>
          <w:rFonts w:hint="cs"/>
          <w:rtl/>
        </w:rPr>
        <w:t xml:space="preserve">התנאי השני הקבוע בסעיף </w:t>
      </w:r>
      <w:r>
        <w:rPr>
          <w:rFonts w:hint="cs"/>
          <w:b w:val="0"/>
          <w:bCs w:val="0"/>
          <w:rtl/>
        </w:rPr>
        <w:t xml:space="preserve">[דהיינו, </w:t>
      </w:r>
      <w:proofErr w:type="spellStart"/>
      <w:r w:rsidR="005A345B">
        <w:rPr>
          <w:rFonts w:hint="cs"/>
          <w:b w:val="0"/>
          <w:bCs w:val="0"/>
          <w:rtl/>
        </w:rPr>
        <w:t>ב</w:t>
      </w:r>
      <w:r>
        <w:rPr>
          <w:rFonts w:hint="cs"/>
          <w:b w:val="0"/>
          <w:bCs w:val="0"/>
          <w:rtl/>
        </w:rPr>
        <w:t>סע</w:t>
      </w:r>
      <w:proofErr w:type="spellEnd"/>
      <w:r>
        <w:rPr>
          <w:rFonts w:hint="cs"/>
          <w:b w:val="0"/>
          <w:bCs w:val="0"/>
          <w:rtl/>
        </w:rPr>
        <w:t xml:space="preserve">' 14(א)(2)] </w:t>
      </w:r>
      <w:r>
        <w:rPr>
          <w:rFonts w:hint="cs"/>
          <w:rtl/>
        </w:rPr>
        <w:t>נותן ביטוי להבחנה מושרשת היטב בדיני ההגבלים העסקיים בין כבילה נלווית (</w:t>
      </w:r>
      <w:r>
        <w:t>Ancillary Restraint</w:t>
      </w:r>
      <w:r>
        <w:rPr>
          <w:rFonts w:hint="cs"/>
          <w:rtl/>
        </w:rPr>
        <w:t>) לכבילה עירומה (</w:t>
      </w:r>
      <w:r>
        <w:t>Naked Restraint</w:t>
      </w:r>
      <w:r>
        <w:rPr>
          <w:rFonts w:hint="cs"/>
          <w:rtl/>
        </w:rPr>
        <w:t>), הבחנה המצויה גם בפסיקת בתי המשפט בישראל.</w:t>
      </w:r>
    </w:p>
    <w:p w14:paraId="601BD56E" w14:textId="7CE5B128" w:rsidR="006D31A1" w:rsidRDefault="006D31A1" w:rsidP="00120A71">
      <w:pPr>
        <w:spacing w:before="240" w:after="0" w:line="360" w:lineRule="auto"/>
        <w:jc w:val="both"/>
        <w:rPr>
          <w:rFonts w:cs="David"/>
          <w:sz w:val="24"/>
          <w:szCs w:val="24"/>
          <w:rtl/>
        </w:rPr>
      </w:pPr>
      <w:r>
        <w:rPr>
          <w:rFonts w:cs="David" w:hint="cs"/>
          <w:sz w:val="24"/>
          <w:szCs w:val="24"/>
          <w:rtl/>
        </w:rPr>
        <w:t>עוד לפני תיקונו של סע' 14 בשנת 2000, עמד</w:t>
      </w:r>
      <w:r w:rsidR="0055598F">
        <w:rPr>
          <w:rFonts w:cs="David" w:hint="cs"/>
          <w:sz w:val="24"/>
          <w:szCs w:val="24"/>
          <w:rtl/>
        </w:rPr>
        <w:t>ו בית-הדין</w:t>
      </w:r>
      <w:r w:rsidR="00120A71">
        <w:rPr>
          <w:rFonts w:cs="David" w:hint="cs"/>
          <w:sz w:val="24"/>
          <w:szCs w:val="24"/>
          <w:rtl/>
        </w:rPr>
        <w:t xml:space="preserve"> </w:t>
      </w:r>
      <w:r w:rsidR="0055598F">
        <w:rPr>
          <w:rFonts w:cs="David" w:hint="cs"/>
          <w:sz w:val="24"/>
          <w:szCs w:val="24"/>
          <w:rtl/>
        </w:rPr>
        <w:t>ו</w:t>
      </w:r>
      <w:r>
        <w:rPr>
          <w:rFonts w:cs="David" w:hint="cs"/>
          <w:sz w:val="24"/>
          <w:szCs w:val="24"/>
          <w:rtl/>
        </w:rPr>
        <w:t>הממונה על חשיבות ההבחנה בין כבילות נלוות לבין כבילות עירומות</w:t>
      </w:r>
      <w:r w:rsidR="0055598F">
        <w:rPr>
          <w:rFonts w:cs="David" w:hint="cs"/>
          <w:sz w:val="24"/>
          <w:szCs w:val="24"/>
          <w:rtl/>
        </w:rPr>
        <w:t xml:space="preserve"> לעניין מתן פטור להסדר כובל.</w:t>
      </w:r>
      <w:bookmarkStart w:id="5" w:name="_Ref508193567"/>
      <w:r w:rsidR="0055598F">
        <w:rPr>
          <w:rStyle w:val="FootnoteReference"/>
          <w:rFonts w:cs="David"/>
          <w:sz w:val="24"/>
          <w:szCs w:val="24"/>
          <w:rtl/>
        </w:rPr>
        <w:footnoteReference w:id="10"/>
      </w:r>
      <w:bookmarkEnd w:id="5"/>
      <w:r>
        <w:rPr>
          <w:rFonts w:cs="David" w:hint="cs"/>
          <w:sz w:val="24"/>
          <w:szCs w:val="24"/>
          <w:rtl/>
        </w:rPr>
        <w:t xml:space="preserve"> </w:t>
      </w:r>
      <w:r w:rsidR="004802E9">
        <w:rPr>
          <w:rFonts w:cs="David" w:hint="cs"/>
          <w:sz w:val="24"/>
          <w:szCs w:val="24"/>
          <w:rtl/>
        </w:rPr>
        <w:t xml:space="preserve">בית-הדין עמד על חשיבותה של הבחנה זו גם </w:t>
      </w:r>
      <w:r w:rsidR="00764DAE">
        <w:rPr>
          <w:rFonts w:cs="David" w:hint="cs"/>
          <w:sz w:val="24"/>
          <w:szCs w:val="24"/>
          <w:rtl/>
        </w:rPr>
        <w:t>בהקשר של בקש</w:t>
      </w:r>
      <w:r w:rsidR="00B50FB5">
        <w:rPr>
          <w:rFonts w:cs="David" w:hint="cs"/>
          <w:sz w:val="24"/>
          <w:szCs w:val="24"/>
          <w:rtl/>
        </w:rPr>
        <w:t>ה</w:t>
      </w:r>
      <w:r w:rsidR="00764DAE">
        <w:rPr>
          <w:rFonts w:cs="David" w:hint="cs"/>
          <w:sz w:val="24"/>
          <w:szCs w:val="24"/>
          <w:rtl/>
        </w:rPr>
        <w:t xml:space="preserve"> לאישור הסדר כובל.</w:t>
      </w:r>
      <w:bookmarkStart w:id="6" w:name="_Ref508210373"/>
      <w:r w:rsidR="00764DAE">
        <w:rPr>
          <w:rStyle w:val="FootnoteReference"/>
          <w:rFonts w:cs="David"/>
          <w:sz w:val="24"/>
          <w:szCs w:val="24"/>
          <w:rtl/>
        </w:rPr>
        <w:footnoteReference w:id="11"/>
      </w:r>
      <w:bookmarkEnd w:id="6"/>
    </w:p>
    <w:p w14:paraId="0DBD49FC" w14:textId="54CBC3D8" w:rsidR="006C03EF" w:rsidRDefault="006C03EF" w:rsidP="005E49BD">
      <w:pPr>
        <w:spacing w:before="240" w:after="0" w:line="360" w:lineRule="auto"/>
        <w:jc w:val="both"/>
        <w:rPr>
          <w:rFonts w:cs="David"/>
          <w:sz w:val="24"/>
          <w:szCs w:val="24"/>
          <w:rtl/>
        </w:rPr>
      </w:pPr>
      <w:r>
        <w:rPr>
          <w:rFonts w:cs="David" w:hint="cs"/>
          <w:sz w:val="24"/>
          <w:szCs w:val="24"/>
          <w:rtl/>
        </w:rPr>
        <w:t>על חשיבות</w:t>
      </w:r>
      <w:r w:rsidR="00CB315A">
        <w:rPr>
          <w:rFonts w:cs="David" w:hint="cs"/>
          <w:sz w:val="24"/>
          <w:szCs w:val="24"/>
          <w:rtl/>
        </w:rPr>
        <w:t>ה</w:t>
      </w:r>
      <w:r>
        <w:rPr>
          <w:rFonts w:cs="David" w:hint="cs"/>
          <w:sz w:val="24"/>
          <w:szCs w:val="24"/>
          <w:rtl/>
        </w:rPr>
        <w:t xml:space="preserve"> </w:t>
      </w:r>
      <w:r w:rsidR="00CB315A">
        <w:rPr>
          <w:rFonts w:cs="David" w:hint="cs"/>
          <w:sz w:val="24"/>
          <w:szCs w:val="24"/>
          <w:rtl/>
        </w:rPr>
        <w:t xml:space="preserve">של </w:t>
      </w:r>
      <w:r>
        <w:rPr>
          <w:rFonts w:cs="David" w:hint="cs"/>
          <w:sz w:val="24"/>
          <w:szCs w:val="24"/>
          <w:rtl/>
        </w:rPr>
        <w:t>ה</w:t>
      </w:r>
      <w:r w:rsidR="005E49BD">
        <w:rPr>
          <w:rFonts w:cs="David" w:hint="cs"/>
          <w:sz w:val="24"/>
          <w:szCs w:val="24"/>
          <w:rtl/>
        </w:rPr>
        <w:t>ה</w:t>
      </w:r>
      <w:r>
        <w:rPr>
          <w:rFonts w:cs="David" w:hint="cs"/>
          <w:sz w:val="24"/>
          <w:szCs w:val="24"/>
          <w:rtl/>
        </w:rPr>
        <w:t>בחנה</w:t>
      </w:r>
      <w:r w:rsidR="00CB315A">
        <w:rPr>
          <w:rFonts w:cs="David" w:hint="cs"/>
          <w:sz w:val="24"/>
          <w:szCs w:val="24"/>
          <w:rtl/>
        </w:rPr>
        <w:t xml:space="preserve"> </w:t>
      </w:r>
      <w:r w:rsidR="005E49BD">
        <w:rPr>
          <w:rFonts w:cs="David" w:hint="cs"/>
          <w:sz w:val="24"/>
          <w:szCs w:val="24"/>
          <w:rtl/>
        </w:rPr>
        <w:t>בין כבילות נלוות לכבילות עירומות</w:t>
      </w:r>
      <w:r w:rsidR="00CB315A">
        <w:rPr>
          <w:rFonts w:cs="David" w:hint="cs"/>
          <w:sz w:val="24"/>
          <w:szCs w:val="24"/>
          <w:rtl/>
        </w:rPr>
        <w:t>,</w:t>
      </w:r>
      <w:r>
        <w:rPr>
          <w:rFonts w:cs="David" w:hint="cs"/>
          <w:sz w:val="24"/>
          <w:szCs w:val="24"/>
          <w:rtl/>
        </w:rPr>
        <w:t xml:space="preserve"> ראו </w:t>
      </w:r>
      <w:r w:rsidR="00C93839">
        <w:rPr>
          <w:rFonts w:cs="David" w:hint="cs"/>
          <w:sz w:val="24"/>
          <w:szCs w:val="24"/>
          <w:rtl/>
        </w:rPr>
        <w:t xml:space="preserve">גם </w:t>
      </w:r>
      <w:r>
        <w:rPr>
          <w:rFonts w:cs="David" w:hint="cs"/>
          <w:sz w:val="24"/>
          <w:szCs w:val="24"/>
          <w:rtl/>
        </w:rPr>
        <w:t>את דברי המלומד</w:t>
      </w:r>
      <w:r w:rsidR="00457EE3">
        <w:rPr>
          <w:rFonts w:cs="David" w:hint="cs"/>
          <w:sz w:val="24"/>
          <w:szCs w:val="24"/>
          <w:rtl/>
        </w:rPr>
        <w:t>ים</w:t>
      </w:r>
      <w:r>
        <w:rPr>
          <w:rFonts w:cs="David" w:hint="cs"/>
          <w:sz w:val="24"/>
          <w:szCs w:val="24"/>
          <w:rtl/>
        </w:rPr>
        <w:t xml:space="preserve"> </w:t>
      </w:r>
      <w:proofErr w:type="spellStart"/>
      <w:r w:rsidR="00457EE3">
        <w:rPr>
          <w:rFonts w:asciiTheme="majorBidi" w:hAnsiTheme="majorBidi" w:cstheme="majorBidi"/>
          <w:sz w:val="24"/>
          <w:szCs w:val="24"/>
        </w:rPr>
        <w:t>Areeda</w:t>
      </w:r>
      <w:proofErr w:type="spellEnd"/>
      <w:r w:rsidR="00457EE3">
        <w:rPr>
          <w:rFonts w:asciiTheme="majorBidi" w:hAnsiTheme="majorBidi" w:cstheme="majorBidi"/>
          <w:sz w:val="24"/>
          <w:szCs w:val="24"/>
        </w:rPr>
        <w:t xml:space="preserve"> &amp; </w:t>
      </w:r>
      <w:proofErr w:type="spellStart"/>
      <w:r w:rsidRPr="00057443">
        <w:rPr>
          <w:rFonts w:asciiTheme="majorBidi" w:hAnsiTheme="majorBidi" w:cstheme="majorBidi"/>
          <w:sz w:val="24"/>
          <w:szCs w:val="24"/>
        </w:rPr>
        <w:t>Hovenkamp</w:t>
      </w:r>
      <w:proofErr w:type="spellEnd"/>
      <w:r>
        <w:rPr>
          <w:rFonts w:cs="David" w:hint="cs"/>
          <w:sz w:val="24"/>
          <w:szCs w:val="24"/>
          <w:rtl/>
        </w:rPr>
        <w:t>:</w:t>
      </w:r>
      <w:bookmarkStart w:id="7" w:name="_Ref511663549"/>
      <w:r>
        <w:rPr>
          <w:rStyle w:val="FootnoteReference"/>
          <w:rFonts w:cs="David"/>
          <w:sz w:val="24"/>
          <w:szCs w:val="24"/>
          <w:rtl/>
        </w:rPr>
        <w:footnoteReference w:id="12"/>
      </w:r>
      <w:bookmarkEnd w:id="7"/>
    </w:p>
    <w:p w14:paraId="44EEEB0C" w14:textId="68677E6C" w:rsidR="006C03EF" w:rsidRPr="009557D4" w:rsidRDefault="006C03EF" w:rsidP="009557D4">
      <w:pPr>
        <w:pStyle w:val="a"/>
      </w:pPr>
      <w:r w:rsidRPr="009557D4">
        <w:t>The most useful classification scheme for antitrust analysis segregates so-called "naked" and "ancillary" agreements.  This all-important classification largely determines the course of subsequent legal evaluation of any restraint</w:t>
      </w:r>
      <w:r w:rsidR="00C960AC" w:rsidRPr="009557D4">
        <w:t>.</w:t>
      </w:r>
    </w:p>
    <w:p w14:paraId="56661027" w14:textId="7F0D30BB" w:rsidR="009B2A08" w:rsidRDefault="006C03EF" w:rsidP="001415FB">
      <w:pPr>
        <w:spacing w:before="240" w:after="0" w:line="360" w:lineRule="auto"/>
        <w:jc w:val="both"/>
        <w:rPr>
          <w:rFonts w:cs="David"/>
          <w:sz w:val="24"/>
          <w:szCs w:val="24"/>
          <w:rtl/>
        </w:rPr>
      </w:pPr>
      <w:r>
        <w:rPr>
          <w:rFonts w:cs="David" w:hint="cs"/>
          <w:sz w:val="24"/>
          <w:szCs w:val="24"/>
          <w:rtl/>
        </w:rPr>
        <w:t>בהצגת פרשנות</w:t>
      </w:r>
      <w:r w:rsidR="005E5E98">
        <w:rPr>
          <w:rFonts w:cs="David" w:hint="cs"/>
          <w:sz w:val="24"/>
          <w:szCs w:val="24"/>
          <w:rtl/>
        </w:rPr>
        <w:t xml:space="preserve"> הרשות</w:t>
      </w:r>
      <w:r>
        <w:rPr>
          <w:rFonts w:cs="David" w:hint="cs"/>
          <w:sz w:val="24"/>
          <w:szCs w:val="24"/>
          <w:rtl/>
        </w:rPr>
        <w:t xml:space="preserve"> </w:t>
      </w:r>
      <w:proofErr w:type="spellStart"/>
      <w:r w:rsidR="005E5E98">
        <w:rPr>
          <w:rFonts w:cs="David" w:hint="cs"/>
          <w:sz w:val="24"/>
          <w:szCs w:val="24"/>
          <w:rtl/>
        </w:rPr>
        <w:t>ל</w:t>
      </w:r>
      <w:r>
        <w:rPr>
          <w:rFonts w:cs="David" w:hint="cs"/>
          <w:sz w:val="24"/>
          <w:szCs w:val="24"/>
          <w:rtl/>
        </w:rPr>
        <w:t>סע</w:t>
      </w:r>
      <w:proofErr w:type="spellEnd"/>
      <w:r>
        <w:rPr>
          <w:rFonts w:cs="David" w:hint="cs"/>
          <w:sz w:val="24"/>
          <w:szCs w:val="24"/>
          <w:rtl/>
        </w:rPr>
        <w:t>' 14(א)(2)</w:t>
      </w:r>
      <w:r w:rsidR="00CB315A">
        <w:rPr>
          <w:rFonts w:cs="David" w:hint="cs"/>
          <w:sz w:val="24"/>
          <w:szCs w:val="24"/>
          <w:rtl/>
        </w:rPr>
        <w:t xml:space="preserve"> להלן, </w:t>
      </w:r>
      <w:r w:rsidR="00FC476D">
        <w:rPr>
          <w:rFonts w:cs="David" w:hint="cs"/>
          <w:sz w:val="24"/>
          <w:szCs w:val="24"/>
          <w:rtl/>
        </w:rPr>
        <w:t>נ</w:t>
      </w:r>
      <w:r w:rsidR="005E5E98">
        <w:rPr>
          <w:rFonts w:cs="David" w:hint="cs"/>
          <w:sz w:val="24"/>
          <w:szCs w:val="24"/>
          <w:rtl/>
        </w:rPr>
        <w:t xml:space="preserve">פנה גם </w:t>
      </w:r>
      <w:r w:rsidR="00FC476D">
        <w:rPr>
          <w:rFonts w:cs="David" w:hint="cs"/>
          <w:sz w:val="24"/>
          <w:szCs w:val="24"/>
          <w:rtl/>
        </w:rPr>
        <w:t>למקורות משפטיים מחו"ל העוסקים בהבחנה בין כבילות נלוות לכבילות עירומות, זאת לצד פסיקה</w:t>
      </w:r>
      <w:r w:rsidR="005E5E98">
        <w:rPr>
          <w:rFonts w:cs="David" w:hint="cs"/>
          <w:sz w:val="24"/>
          <w:szCs w:val="24"/>
          <w:rtl/>
        </w:rPr>
        <w:t xml:space="preserve"> ישראלית</w:t>
      </w:r>
      <w:r w:rsidR="00FC476D">
        <w:rPr>
          <w:rFonts w:cs="David" w:hint="cs"/>
          <w:sz w:val="24"/>
          <w:szCs w:val="24"/>
          <w:rtl/>
        </w:rPr>
        <w:t xml:space="preserve"> והחלטות הממונה.</w:t>
      </w:r>
      <w:r w:rsidR="00441BB1">
        <w:rPr>
          <w:rFonts w:cs="David" w:hint="cs"/>
          <w:sz w:val="24"/>
          <w:szCs w:val="24"/>
          <w:rtl/>
        </w:rPr>
        <w:t xml:space="preserve"> </w:t>
      </w:r>
    </w:p>
    <w:p w14:paraId="2EC5B2E2" w14:textId="40AE9ACC" w:rsidR="0092402B" w:rsidRDefault="00131061" w:rsidP="009D78E7">
      <w:pPr>
        <w:pStyle w:val="Heading2"/>
        <w:rPr>
          <w:rtl/>
        </w:rPr>
      </w:pPr>
      <w:r>
        <w:rPr>
          <w:rFonts w:hint="cs"/>
          <w:rtl/>
        </w:rPr>
        <w:t xml:space="preserve">סע' 14(א)(2) רישא </w:t>
      </w:r>
      <w:r>
        <w:rPr>
          <w:rtl/>
        </w:rPr>
        <w:t>–</w:t>
      </w:r>
      <w:r>
        <w:rPr>
          <w:rFonts w:hint="cs"/>
          <w:rtl/>
        </w:rPr>
        <w:t xml:space="preserve"> "</w:t>
      </w:r>
      <w:r w:rsidR="008E1DAC">
        <w:rPr>
          <w:rFonts w:hint="cs"/>
          <w:rtl/>
        </w:rPr>
        <w:t>עיקרו של ההסדר</w:t>
      </w:r>
      <w:r>
        <w:rPr>
          <w:rFonts w:hint="cs"/>
          <w:rtl/>
        </w:rPr>
        <w:t>"</w:t>
      </w:r>
    </w:p>
    <w:p w14:paraId="63C81F54" w14:textId="38AAD48B" w:rsidR="00711B78" w:rsidRDefault="00514E17" w:rsidP="00E92044">
      <w:pPr>
        <w:spacing w:before="240" w:after="0" w:line="360" w:lineRule="auto"/>
        <w:jc w:val="both"/>
        <w:rPr>
          <w:rFonts w:cs="David"/>
          <w:sz w:val="24"/>
          <w:szCs w:val="24"/>
          <w:rtl/>
        </w:rPr>
      </w:pPr>
      <w:r>
        <w:rPr>
          <w:rFonts w:cs="David" w:hint="cs"/>
          <w:sz w:val="24"/>
          <w:szCs w:val="24"/>
          <w:rtl/>
        </w:rPr>
        <w:t xml:space="preserve">כאמור, </w:t>
      </w:r>
      <w:r w:rsidR="008E1DAC">
        <w:rPr>
          <w:rFonts w:cs="David" w:hint="cs"/>
          <w:sz w:val="24"/>
          <w:szCs w:val="24"/>
          <w:rtl/>
        </w:rPr>
        <w:t xml:space="preserve">הרישא של סעיף 14(א)(2) מחייב כי להסדר יהיה </w:t>
      </w:r>
      <w:r w:rsidR="008E1DAC">
        <w:rPr>
          <w:rFonts w:cs="David" w:hint="cs"/>
          <w:b/>
          <w:bCs/>
          <w:sz w:val="24"/>
          <w:szCs w:val="24"/>
          <w:rtl/>
        </w:rPr>
        <w:t>"עיקר"</w:t>
      </w:r>
      <w:r w:rsidR="008E1DAC">
        <w:rPr>
          <w:rFonts w:cs="David" w:hint="cs"/>
          <w:sz w:val="24"/>
          <w:szCs w:val="24"/>
          <w:rtl/>
        </w:rPr>
        <w:t xml:space="preserve"> שאינו </w:t>
      </w:r>
      <w:r w:rsidR="00E42308">
        <w:rPr>
          <w:rFonts w:cs="David" w:hint="cs"/>
          <w:sz w:val="24"/>
          <w:szCs w:val="24"/>
          <w:rtl/>
        </w:rPr>
        <w:t>הפחתת</w:t>
      </w:r>
      <w:r w:rsidR="008E1DAC">
        <w:rPr>
          <w:rFonts w:cs="David" w:hint="cs"/>
          <w:sz w:val="24"/>
          <w:szCs w:val="24"/>
          <w:rtl/>
        </w:rPr>
        <w:t xml:space="preserve"> התחרות או </w:t>
      </w:r>
      <w:r w:rsidR="00E42308">
        <w:rPr>
          <w:rFonts w:cs="David" w:hint="cs"/>
          <w:sz w:val="24"/>
          <w:szCs w:val="24"/>
          <w:rtl/>
        </w:rPr>
        <w:t>מניעתה</w:t>
      </w:r>
      <w:r w:rsidR="008E1DAC">
        <w:rPr>
          <w:rFonts w:cs="David" w:hint="cs"/>
          <w:sz w:val="24"/>
          <w:szCs w:val="24"/>
          <w:rtl/>
        </w:rPr>
        <w:t xml:space="preserve">. בהציגו את תיקון מס' 6 לחוק ההגבלים העסקיים בפני מליאת הכנסת לקריאה שניה ושלישית, </w:t>
      </w:r>
      <w:r w:rsidR="00EB1370">
        <w:rPr>
          <w:rFonts w:cs="David" w:hint="cs"/>
          <w:sz w:val="24"/>
          <w:szCs w:val="24"/>
          <w:rtl/>
        </w:rPr>
        <w:t>דיבר</w:t>
      </w:r>
      <w:r w:rsidR="008E1DAC">
        <w:rPr>
          <w:rFonts w:cs="David" w:hint="cs"/>
          <w:sz w:val="24"/>
          <w:szCs w:val="24"/>
          <w:rtl/>
        </w:rPr>
        <w:t xml:space="preserve"> יו"ר ועדת הכלכלה ח"כ אברהם פורז </w:t>
      </w:r>
      <w:r w:rsidR="00441BB1">
        <w:rPr>
          <w:rFonts w:cs="David" w:hint="cs"/>
          <w:sz w:val="24"/>
          <w:szCs w:val="24"/>
          <w:rtl/>
        </w:rPr>
        <w:t xml:space="preserve">על </w:t>
      </w:r>
      <w:r w:rsidR="00711B78" w:rsidRPr="002D769E">
        <w:rPr>
          <w:rFonts w:cs="David" w:hint="cs"/>
          <w:sz w:val="24"/>
          <w:szCs w:val="24"/>
          <w:u w:val="single"/>
          <w:rtl/>
        </w:rPr>
        <w:t>הסדר</w:t>
      </w:r>
      <w:r w:rsidR="00711B78" w:rsidRPr="002D769E">
        <w:rPr>
          <w:rFonts w:cs="David"/>
          <w:sz w:val="24"/>
          <w:szCs w:val="24"/>
          <w:u w:val="single"/>
          <w:rtl/>
        </w:rPr>
        <w:t xml:space="preserve"> </w:t>
      </w:r>
      <w:r w:rsidR="00711B78" w:rsidRPr="002D769E">
        <w:rPr>
          <w:rFonts w:cs="David" w:hint="cs"/>
          <w:sz w:val="24"/>
          <w:szCs w:val="24"/>
          <w:u w:val="single"/>
          <w:rtl/>
        </w:rPr>
        <w:t>לגיטימי</w:t>
      </w:r>
      <w:r w:rsidR="00B14464">
        <w:rPr>
          <w:rFonts w:cs="David" w:hint="cs"/>
          <w:b/>
          <w:bCs/>
          <w:sz w:val="24"/>
          <w:szCs w:val="24"/>
          <w:rtl/>
        </w:rPr>
        <w:t xml:space="preserve">: </w:t>
      </w:r>
      <w:r w:rsidR="00B14464" w:rsidRPr="002D769E">
        <w:rPr>
          <w:rFonts w:cs="David"/>
          <w:b/>
          <w:bCs/>
          <w:sz w:val="24"/>
          <w:szCs w:val="24"/>
          <w:rtl/>
        </w:rPr>
        <w:t>"</w:t>
      </w:r>
      <w:r w:rsidR="00B14464" w:rsidRPr="002D769E">
        <w:rPr>
          <w:rFonts w:cs="David" w:hint="cs"/>
          <w:b/>
          <w:bCs/>
          <w:sz w:val="24"/>
          <w:szCs w:val="24"/>
          <w:rtl/>
        </w:rPr>
        <w:t>המקרים</w:t>
      </w:r>
      <w:r w:rsidR="00B14464" w:rsidRPr="002D769E">
        <w:rPr>
          <w:rFonts w:cs="David"/>
          <w:b/>
          <w:bCs/>
          <w:sz w:val="24"/>
          <w:szCs w:val="24"/>
          <w:rtl/>
        </w:rPr>
        <w:t xml:space="preserve"> </w:t>
      </w:r>
      <w:r w:rsidR="00B14464" w:rsidRPr="002D769E">
        <w:rPr>
          <w:rFonts w:cs="David" w:hint="cs"/>
          <w:b/>
          <w:bCs/>
          <w:sz w:val="24"/>
          <w:szCs w:val="24"/>
          <w:rtl/>
        </w:rPr>
        <w:t>הראויים</w:t>
      </w:r>
      <w:r w:rsidR="00B14464" w:rsidRPr="002D769E">
        <w:rPr>
          <w:rFonts w:cs="David"/>
          <w:b/>
          <w:bCs/>
          <w:sz w:val="24"/>
          <w:szCs w:val="24"/>
          <w:rtl/>
        </w:rPr>
        <w:t xml:space="preserve"> </w:t>
      </w:r>
      <w:r w:rsidR="00B14464" w:rsidRPr="002D769E">
        <w:rPr>
          <w:rFonts w:cs="David" w:hint="cs"/>
          <w:b/>
          <w:bCs/>
          <w:sz w:val="24"/>
          <w:szCs w:val="24"/>
          <w:rtl/>
        </w:rPr>
        <w:t>לפטור</w:t>
      </w:r>
      <w:r w:rsidR="00B14464" w:rsidRPr="002D769E">
        <w:rPr>
          <w:rFonts w:cs="David"/>
          <w:b/>
          <w:bCs/>
          <w:sz w:val="24"/>
          <w:szCs w:val="24"/>
          <w:rtl/>
        </w:rPr>
        <w:t xml:space="preserve"> </w:t>
      </w:r>
      <w:r w:rsidR="00B14464" w:rsidRPr="002D769E">
        <w:rPr>
          <w:rFonts w:cs="David" w:hint="cs"/>
          <w:b/>
          <w:bCs/>
          <w:sz w:val="24"/>
          <w:szCs w:val="24"/>
          <w:rtl/>
        </w:rPr>
        <w:t>הם</w:t>
      </w:r>
      <w:r w:rsidR="00B14464" w:rsidRPr="002D769E">
        <w:rPr>
          <w:rFonts w:cs="David"/>
          <w:b/>
          <w:bCs/>
          <w:sz w:val="24"/>
          <w:szCs w:val="24"/>
          <w:rtl/>
        </w:rPr>
        <w:t xml:space="preserve"> </w:t>
      </w:r>
      <w:r w:rsidR="00B14464" w:rsidRPr="002D769E">
        <w:rPr>
          <w:rFonts w:cs="David" w:hint="cs"/>
          <w:b/>
          <w:bCs/>
          <w:sz w:val="24"/>
          <w:szCs w:val="24"/>
          <w:rtl/>
        </w:rPr>
        <w:t>הסכמים</w:t>
      </w:r>
      <w:r w:rsidR="00B14464" w:rsidRPr="002D769E">
        <w:rPr>
          <w:rFonts w:cs="David"/>
          <w:b/>
          <w:bCs/>
          <w:sz w:val="24"/>
          <w:szCs w:val="24"/>
          <w:rtl/>
        </w:rPr>
        <w:t xml:space="preserve"> </w:t>
      </w:r>
      <w:r w:rsidR="00B14464" w:rsidRPr="002D769E">
        <w:rPr>
          <w:rFonts w:cs="David" w:hint="cs"/>
          <w:b/>
          <w:bCs/>
          <w:sz w:val="24"/>
          <w:szCs w:val="24"/>
          <w:rtl/>
        </w:rPr>
        <w:t>שהגבלת</w:t>
      </w:r>
      <w:r w:rsidR="00B14464" w:rsidRPr="002D769E">
        <w:rPr>
          <w:rFonts w:cs="David"/>
          <w:b/>
          <w:bCs/>
          <w:sz w:val="24"/>
          <w:szCs w:val="24"/>
          <w:rtl/>
        </w:rPr>
        <w:t xml:space="preserve"> </w:t>
      </w:r>
      <w:r w:rsidR="00B14464" w:rsidRPr="002D769E">
        <w:rPr>
          <w:rFonts w:cs="David" w:hint="cs"/>
          <w:b/>
          <w:bCs/>
          <w:sz w:val="24"/>
          <w:szCs w:val="24"/>
          <w:rtl/>
        </w:rPr>
        <w:t>התחרות</w:t>
      </w:r>
      <w:r w:rsidR="00B14464" w:rsidRPr="002D769E">
        <w:rPr>
          <w:rFonts w:cs="David"/>
          <w:b/>
          <w:bCs/>
          <w:sz w:val="24"/>
          <w:szCs w:val="24"/>
          <w:rtl/>
        </w:rPr>
        <w:t xml:space="preserve"> </w:t>
      </w:r>
      <w:r w:rsidR="00B14464" w:rsidRPr="002D769E">
        <w:rPr>
          <w:rFonts w:cs="David" w:hint="cs"/>
          <w:b/>
          <w:bCs/>
          <w:sz w:val="24"/>
          <w:szCs w:val="24"/>
          <w:rtl/>
        </w:rPr>
        <w:t>בהם</w:t>
      </w:r>
      <w:r w:rsidR="00B14464" w:rsidRPr="002D769E">
        <w:rPr>
          <w:rFonts w:cs="David"/>
          <w:b/>
          <w:bCs/>
          <w:sz w:val="24"/>
          <w:szCs w:val="24"/>
          <w:rtl/>
        </w:rPr>
        <w:t xml:space="preserve"> </w:t>
      </w:r>
      <w:r w:rsidR="00B14464" w:rsidRPr="002D769E">
        <w:rPr>
          <w:rFonts w:cs="David" w:hint="cs"/>
          <w:b/>
          <w:bCs/>
          <w:sz w:val="24"/>
          <w:szCs w:val="24"/>
          <w:rtl/>
        </w:rPr>
        <w:t>היא</w:t>
      </w:r>
      <w:r w:rsidR="00B14464" w:rsidRPr="002D769E">
        <w:rPr>
          <w:rFonts w:cs="David"/>
          <w:b/>
          <w:bCs/>
          <w:sz w:val="24"/>
          <w:szCs w:val="24"/>
          <w:rtl/>
        </w:rPr>
        <w:t xml:space="preserve"> </w:t>
      </w:r>
      <w:r w:rsidR="00B14464" w:rsidRPr="002D769E">
        <w:rPr>
          <w:rFonts w:cs="David" w:hint="cs"/>
          <w:b/>
          <w:bCs/>
          <w:sz w:val="24"/>
          <w:szCs w:val="24"/>
          <w:rtl/>
        </w:rPr>
        <w:t>נגררת</w:t>
      </w:r>
      <w:r w:rsidR="00B14464" w:rsidRPr="002D769E">
        <w:rPr>
          <w:rFonts w:cs="David"/>
          <w:b/>
          <w:bCs/>
          <w:sz w:val="24"/>
          <w:szCs w:val="24"/>
          <w:rtl/>
        </w:rPr>
        <w:t xml:space="preserve">, </w:t>
      </w:r>
      <w:r w:rsidR="00B14464" w:rsidRPr="002D769E">
        <w:rPr>
          <w:rFonts w:cs="David" w:hint="cs"/>
          <w:b/>
          <w:bCs/>
          <w:sz w:val="24"/>
          <w:szCs w:val="24"/>
          <w:rtl/>
        </w:rPr>
        <w:t>טפלה</w:t>
      </w:r>
      <w:r w:rsidR="00B14464" w:rsidRPr="002D769E">
        <w:rPr>
          <w:rFonts w:cs="David"/>
          <w:b/>
          <w:bCs/>
          <w:sz w:val="24"/>
          <w:szCs w:val="24"/>
          <w:rtl/>
        </w:rPr>
        <w:t xml:space="preserve"> </w:t>
      </w:r>
      <w:r w:rsidR="00B14464" w:rsidRPr="002D769E">
        <w:rPr>
          <w:rFonts w:cs="David" w:hint="cs"/>
          <w:b/>
          <w:bCs/>
          <w:sz w:val="24"/>
          <w:szCs w:val="24"/>
          <w:u w:val="single"/>
          <w:rtl/>
        </w:rPr>
        <w:t>להסדר</w:t>
      </w:r>
      <w:r w:rsidR="00B14464" w:rsidRPr="002D769E">
        <w:rPr>
          <w:rFonts w:cs="David"/>
          <w:b/>
          <w:bCs/>
          <w:sz w:val="24"/>
          <w:szCs w:val="24"/>
          <w:u w:val="single"/>
          <w:rtl/>
        </w:rPr>
        <w:t xml:space="preserve"> </w:t>
      </w:r>
      <w:r w:rsidR="00B14464" w:rsidRPr="002D769E">
        <w:rPr>
          <w:rFonts w:cs="David" w:hint="cs"/>
          <w:b/>
          <w:bCs/>
          <w:sz w:val="24"/>
          <w:szCs w:val="24"/>
          <w:u w:val="single"/>
          <w:rtl/>
        </w:rPr>
        <w:t>לגיטימי</w:t>
      </w:r>
      <w:r w:rsidR="00711B78">
        <w:rPr>
          <w:rFonts w:cs="David" w:hint="cs"/>
          <w:b/>
          <w:bCs/>
          <w:sz w:val="24"/>
          <w:szCs w:val="24"/>
          <w:rtl/>
        </w:rPr>
        <w:t xml:space="preserve"> ומועילה לעסקים ולתחר</w:t>
      </w:r>
      <w:r w:rsidR="00B7692F">
        <w:rPr>
          <w:rFonts w:cs="David" w:hint="cs"/>
          <w:b/>
          <w:bCs/>
          <w:sz w:val="24"/>
          <w:szCs w:val="24"/>
          <w:rtl/>
        </w:rPr>
        <w:t>ו</w:t>
      </w:r>
      <w:r w:rsidR="00711B78">
        <w:rPr>
          <w:rFonts w:cs="David" w:hint="cs"/>
          <w:b/>
          <w:bCs/>
          <w:sz w:val="24"/>
          <w:szCs w:val="24"/>
          <w:rtl/>
        </w:rPr>
        <w:t>ת"</w:t>
      </w:r>
      <w:r w:rsidR="00513098">
        <w:rPr>
          <w:rFonts w:cs="David" w:hint="cs"/>
          <w:sz w:val="24"/>
          <w:szCs w:val="24"/>
          <w:rtl/>
        </w:rPr>
        <w:t>.</w:t>
      </w:r>
      <w:bookmarkStart w:id="8" w:name="_Ref508190643"/>
      <w:r w:rsidR="000963C0">
        <w:rPr>
          <w:rStyle w:val="FootnoteReference"/>
          <w:rFonts w:cs="David"/>
          <w:sz w:val="24"/>
          <w:szCs w:val="24"/>
          <w:rtl/>
        </w:rPr>
        <w:footnoteReference w:id="13"/>
      </w:r>
      <w:bookmarkEnd w:id="8"/>
      <w:r w:rsidR="00513098">
        <w:rPr>
          <w:rFonts w:cs="David" w:hint="cs"/>
          <w:sz w:val="24"/>
          <w:szCs w:val="24"/>
          <w:rtl/>
        </w:rPr>
        <w:t xml:space="preserve"> </w:t>
      </w:r>
      <w:r w:rsidR="00DC09BE">
        <w:rPr>
          <w:rFonts w:cs="David" w:hint="cs"/>
          <w:sz w:val="24"/>
          <w:szCs w:val="24"/>
          <w:rtl/>
        </w:rPr>
        <w:t>הכוונה כאן ל</w:t>
      </w:r>
      <w:r w:rsidR="00D045D7">
        <w:rPr>
          <w:rFonts w:cs="David" w:hint="cs"/>
          <w:sz w:val="24"/>
          <w:szCs w:val="24"/>
          <w:rtl/>
        </w:rPr>
        <w:t xml:space="preserve">עסקה של </w:t>
      </w:r>
      <w:r w:rsidR="00513098">
        <w:rPr>
          <w:rFonts w:cs="David" w:hint="cs"/>
          <w:sz w:val="24"/>
          <w:szCs w:val="24"/>
          <w:rtl/>
        </w:rPr>
        <w:t xml:space="preserve">שילוב כוחות עסקיים לשם ייעול, הגדלת תפוקה, פיתוח מוצרים חדשים וכדומה. </w:t>
      </w:r>
      <w:r w:rsidR="000963C0">
        <w:rPr>
          <w:rFonts w:cs="David" w:hint="cs"/>
          <w:sz w:val="24"/>
          <w:szCs w:val="24"/>
          <w:rtl/>
        </w:rPr>
        <w:t>בהמשך דברי</w:t>
      </w:r>
      <w:r w:rsidR="00EC57BA">
        <w:rPr>
          <w:rFonts w:cs="David" w:hint="cs"/>
          <w:sz w:val="24"/>
          <w:szCs w:val="24"/>
          <w:rtl/>
        </w:rPr>
        <w:t>ו</w:t>
      </w:r>
      <w:r w:rsidR="000963C0">
        <w:rPr>
          <w:rFonts w:cs="David" w:hint="cs"/>
          <w:sz w:val="24"/>
          <w:szCs w:val="24"/>
          <w:rtl/>
        </w:rPr>
        <w:t xml:space="preserve"> הציע </w:t>
      </w:r>
      <w:r w:rsidR="00DC09BE">
        <w:rPr>
          <w:rFonts w:cs="David" w:hint="cs"/>
          <w:sz w:val="24"/>
          <w:szCs w:val="24"/>
          <w:rtl/>
        </w:rPr>
        <w:t xml:space="preserve">ח"כ פורז </w:t>
      </w:r>
      <w:r w:rsidR="00711B78">
        <w:rPr>
          <w:rFonts w:cs="David" w:hint="cs"/>
          <w:sz w:val="24"/>
          <w:szCs w:val="24"/>
          <w:rtl/>
        </w:rPr>
        <w:t>כדוגמ</w:t>
      </w:r>
      <w:r w:rsidR="003D6E1F">
        <w:rPr>
          <w:rFonts w:cs="David" w:hint="cs"/>
          <w:sz w:val="24"/>
          <w:szCs w:val="24"/>
          <w:rtl/>
        </w:rPr>
        <w:t>ה</w:t>
      </w:r>
      <w:r w:rsidR="00BF60A0">
        <w:rPr>
          <w:rFonts w:cs="David" w:hint="cs"/>
          <w:sz w:val="24"/>
          <w:szCs w:val="24"/>
          <w:rtl/>
        </w:rPr>
        <w:t xml:space="preserve"> לכך</w:t>
      </w:r>
      <w:r w:rsidR="00544A6A">
        <w:rPr>
          <w:rFonts w:cs="David" w:hint="cs"/>
          <w:sz w:val="24"/>
          <w:szCs w:val="24"/>
          <w:rtl/>
        </w:rPr>
        <w:t>:</w:t>
      </w:r>
      <w:r w:rsidR="00711B78">
        <w:rPr>
          <w:rFonts w:cs="David" w:hint="cs"/>
          <w:sz w:val="24"/>
          <w:szCs w:val="24"/>
          <w:rtl/>
        </w:rPr>
        <w:t xml:space="preserve"> </w:t>
      </w:r>
      <w:r w:rsidR="00711B78">
        <w:rPr>
          <w:rFonts w:cs="David" w:hint="cs"/>
          <w:b/>
          <w:bCs/>
          <w:sz w:val="24"/>
          <w:szCs w:val="24"/>
          <w:rtl/>
        </w:rPr>
        <w:t>"שותפות בפיתוח מוצר חדש בין שתי חברות תקשורת"</w:t>
      </w:r>
      <w:r w:rsidR="00711B78">
        <w:rPr>
          <w:rFonts w:cs="David" w:hint="cs"/>
          <w:sz w:val="24"/>
          <w:szCs w:val="24"/>
          <w:rtl/>
        </w:rPr>
        <w:t xml:space="preserve">. </w:t>
      </w:r>
      <w:r w:rsidR="00E535A2">
        <w:rPr>
          <w:rFonts w:cs="David" w:hint="cs"/>
          <w:sz w:val="24"/>
          <w:szCs w:val="24"/>
          <w:rtl/>
        </w:rPr>
        <w:t xml:space="preserve">דוגמות נוספות </w:t>
      </w:r>
      <w:r w:rsidR="007F485B">
        <w:rPr>
          <w:rFonts w:cs="David" w:hint="cs"/>
          <w:sz w:val="24"/>
          <w:szCs w:val="24"/>
          <w:rtl/>
        </w:rPr>
        <w:t>מצויות</w:t>
      </w:r>
      <w:r w:rsidR="00711B78">
        <w:rPr>
          <w:rFonts w:cs="David" w:hint="cs"/>
          <w:sz w:val="24"/>
          <w:szCs w:val="24"/>
          <w:rtl/>
        </w:rPr>
        <w:t xml:space="preserve"> בהחלטות הממונה ובפסיקה</w:t>
      </w:r>
      <w:r w:rsidR="00511867">
        <w:rPr>
          <w:rFonts w:cs="David" w:hint="cs"/>
          <w:sz w:val="24"/>
          <w:szCs w:val="24"/>
          <w:rtl/>
        </w:rPr>
        <w:t xml:space="preserve"> בארץ </w:t>
      </w:r>
      <w:r w:rsidR="00711B78">
        <w:rPr>
          <w:rFonts w:cs="David" w:hint="cs"/>
          <w:sz w:val="24"/>
          <w:szCs w:val="24"/>
          <w:rtl/>
        </w:rPr>
        <w:t>ובחו"ל: חבירה בין חברת תרופות לבין ממציא תרופות, לשם המצאת תרופות חדשות ופיתוחן;</w:t>
      </w:r>
      <w:r w:rsidR="00711B78">
        <w:rPr>
          <w:rStyle w:val="FootnoteReference"/>
          <w:rFonts w:cs="David"/>
          <w:sz w:val="24"/>
          <w:szCs w:val="24"/>
          <w:rtl/>
        </w:rPr>
        <w:footnoteReference w:id="14"/>
      </w:r>
      <w:r w:rsidR="00711B78">
        <w:rPr>
          <w:rFonts w:cs="David" w:hint="cs"/>
          <w:sz w:val="24"/>
          <w:szCs w:val="24"/>
          <w:rtl/>
        </w:rPr>
        <w:t xml:space="preserve"> </w:t>
      </w:r>
      <w:r w:rsidR="00711B78">
        <w:rPr>
          <w:rFonts w:cs="David" w:hint="cs"/>
          <w:sz w:val="24"/>
          <w:szCs w:val="24"/>
          <w:rtl/>
        </w:rPr>
        <w:lastRenderedPageBreak/>
        <w:t>התקשרות בין מו"ל של עיתון יומי לבין חברת הפצה לשם הפצת העיתון למינויים;</w:t>
      </w:r>
      <w:bookmarkStart w:id="9" w:name="_Ref508016183"/>
      <w:r w:rsidR="00711B78">
        <w:rPr>
          <w:rStyle w:val="FootnoteReference"/>
          <w:rFonts w:cs="David"/>
          <w:sz w:val="24"/>
          <w:szCs w:val="24"/>
          <w:rtl/>
        </w:rPr>
        <w:footnoteReference w:id="15"/>
      </w:r>
      <w:bookmarkEnd w:id="9"/>
      <w:r w:rsidR="00D534C9">
        <w:rPr>
          <w:rFonts w:cs="David" w:hint="cs"/>
          <w:sz w:val="24"/>
          <w:szCs w:val="24"/>
          <w:rtl/>
        </w:rPr>
        <w:t xml:space="preserve"> </w:t>
      </w:r>
      <w:r w:rsidR="00E535A2">
        <w:rPr>
          <w:rFonts w:cs="David" w:hint="cs"/>
          <w:sz w:val="24"/>
          <w:szCs w:val="24"/>
          <w:rtl/>
        </w:rPr>
        <w:t xml:space="preserve">התקשרות בין חברת מוזיקה לבין מפיץ לשם </w:t>
      </w:r>
      <w:r w:rsidR="00D534C9">
        <w:rPr>
          <w:rFonts w:cs="David" w:hint="cs"/>
          <w:sz w:val="24"/>
          <w:szCs w:val="24"/>
          <w:rtl/>
        </w:rPr>
        <w:t>הפצת תקליטים ותקליטורים</w:t>
      </w:r>
      <w:bookmarkStart w:id="10" w:name="_Ref508016402"/>
      <w:r w:rsidR="00E535A2">
        <w:rPr>
          <w:rFonts w:cs="David" w:hint="cs"/>
          <w:sz w:val="24"/>
          <w:szCs w:val="24"/>
          <w:rtl/>
        </w:rPr>
        <w:t>;</w:t>
      </w:r>
      <w:r w:rsidR="00D534C9">
        <w:rPr>
          <w:rStyle w:val="FootnoteReference"/>
          <w:rFonts w:cs="David"/>
          <w:sz w:val="24"/>
          <w:szCs w:val="24"/>
          <w:rtl/>
        </w:rPr>
        <w:footnoteReference w:id="16"/>
      </w:r>
      <w:bookmarkEnd w:id="10"/>
      <w:r w:rsidR="00711B78">
        <w:rPr>
          <w:rFonts w:cs="David" w:hint="cs"/>
          <w:sz w:val="24"/>
          <w:szCs w:val="24"/>
          <w:rtl/>
        </w:rPr>
        <w:t xml:space="preserve"> </w:t>
      </w:r>
      <w:r w:rsidR="006B17D2">
        <w:rPr>
          <w:rFonts w:cs="David" w:hint="cs"/>
          <w:sz w:val="24"/>
          <w:szCs w:val="24"/>
          <w:rtl/>
        </w:rPr>
        <w:t xml:space="preserve">הסדר בין </w:t>
      </w:r>
      <w:r w:rsidR="0003175B">
        <w:rPr>
          <w:rFonts w:cs="David" w:hint="cs"/>
          <w:sz w:val="24"/>
          <w:szCs w:val="24"/>
          <w:rtl/>
        </w:rPr>
        <w:t xml:space="preserve">מי שמייצר </w:t>
      </w:r>
      <w:r w:rsidR="006B17D2">
        <w:rPr>
          <w:rFonts w:cs="David" w:hint="cs"/>
          <w:sz w:val="24"/>
          <w:szCs w:val="24"/>
          <w:rtl/>
        </w:rPr>
        <w:t xml:space="preserve">חשמל לשימוש עצמי לבין יצרן חשמל אחר, </w:t>
      </w:r>
      <w:r w:rsidR="0003175B">
        <w:rPr>
          <w:rFonts w:cs="David" w:hint="cs"/>
          <w:sz w:val="24"/>
          <w:szCs w:val="24"/>
          <w:rtl/>
        </w:rPr>
        <w:t>ב</w:t>
      </w:r>
      <w:r w:rsidR="006B17D2">
        <w:rPr>
          <w:rFonts w:cs="David" w:hint="cs"/>
          <w:sz w:val="24"/>
          <w:szCs w:val="24"/>
          <w:rtl/>
        </w:rPr>
        <w:t xml:space="preserve">עניין </w:t>
      </w:r>
      <w:r w:rsidR="00E92044">
        <w:rPr>
          <w:rFonts w:cs="David" w:hint="cs"/>
          <w:sz w:val="24"/>
          <w:szCs w:val="24"/>
          <w:rtl/>
        </w:rPr>
        <w:t xml:space="preserve">מכירת </w:t>
      </w:r>
      <w:r w:rsidR="006B17D2">
        <w:rPr>
          <w:rFonts w:cs="David" w:hint="cs"/>
          <w:sz w:val="24"/>
          <w:szCs w:val="24"/>
          <w:rtl/>
        </w:rPr>
        <w:t>עודפי חשמל;</w:t>
      </w:r>
      <w:r w:rsidR="006B17D2">
        <w:rPr>
          <w:rStyle w:val="FootnoteReference"/>
          <w:rFonts w:cs="David"/>
          <w:sz w:val="24"/>
          <w:szCs w:val="24"/>
          <w:rtl/>
        </w:rPr>
        <w:footnoteReference w:id="17"/>
      </w:r>
      <w:r w:rsidR="006B17D2">
        <w:rPr>
          <w:rFonts w:cs="David" w:hint="cs"/>
          <w:sz w:val="24"/>
          <w:szCs w:val="24"/>
          <w:rtl/>
        </w:rPr>
        <w:t xml:space="preserve"> הסדר בין יצרן מזון לבין משווק מזון לעניין ייצור טופו לשיווק תחת מותגו של המשווק;</w:t>
      </w:r>
      <w:bookmarkStart w:id="11" w:name="_Ref527999474"/>
      <w:r w:rsidR="006B17D2">
        <w:rPr>
          <w:rStyle w:val="FootnoteReference"/>
          <w:rFonts w:cs="David"/>
          <w:sz w:val="24"/>
          <w:szCs w:val="24"/>
          <w:rtl/>
        </w:rPr>
        <w:footnoteReference w:id="18"/>
      </w:r>
      <w:bookmarkEnd w:id="11"/>
      <w:r w:rsidR="006B17D2">
        <w:rPr>
          <w:rFonts w:cs="David" w:hint="cs"/>
          <w:sz w:val="24"/>
          <w:szCs w:val="24"/>
          <w:rtl/>
        </w:rPr>
        <w:t xml:space="preserve"> </w:t>
      </w:r>
      <w:r w:rsidR="00711B78">
        <w:rPr>
          <w:rFonts w:cs="David" w:hint="cs"/>
          <w:sz w:val="24"/>
          <w:szCs w:val="24"/>
          <w:rtl/>
        </w:rPr>
        <w:t>חבירת חברות תקליטים יחד לשם הצעת רישיונות שמיכה להשמעת יצירותיהן;</w:t>
      </w:r>
      <w:bookmarkStart w:id="12" w:name="_Ref508210428"/>
      <w:r w:rsidR="00711B78">
        <w:rPr>
          <w:rStyle w:val="FootnoteReference"/>
          <w:rFonts w:cs="David"/>
          <w:sz w:val="24"/>
          <w:szCs w:val="24"/>
          <w:rtl/>
        </w:rPr>
        <w:footnoteReference w:id="19"/>
      </w:r>
      <w:bookmarkEnd w:id="12"/>
      <w:r w:rsidR="00511867">
        <w:rPr>
          <w:rFonts w:cs="David" w:hint="cs"/>
          <w:sz w:val="24"/>
          <w:szCs w:val="24"/>
          <w:rtl/>
        </w:rPr>
        <w:t xml:space="preserve"> </w:t>
      </w:r>
      <w:r w:rsidR="007749C4">
        <w:rPr>
          <w:rFonts w:cs="David" w:hint="cs"/>
          <w:sz w:val="24"/>
          <w:szCs w:val="24"/>
          <w:rtl/>
        </w:rPr>
        <w:t>התקשרות בין שתי רשתות חנויות לשם הקמת מרכז מסחרי משותף;</w:t>
      </w:r>
      <w:bookmarkStart w:id="13" w:name="_Ref508202139"/>
      <w:r w:rsidR="007749C4">
        <w:rPr>
          <w:rStyle w:val="FootnoteReference"/>
          <w:rFonts w:cs="David"/>
          <w:sz w:val="24"/>
          <w:szCs w:val="24"/>
          <w:rtl/>
        </w:rPr>
        <w:footnoteReference w:id="20"/>
      </w:r>
      <w:bookmarkEnd w:id="13"/>
      <w:r w:rsidR="007749C4">
        <w:rPr>
          <w:rFonts w:cs="David" w:hint="cs"/>
          <w:sz w:val="24"/>
          <w:szCs w:val="24"/>
          <w:rtl/>
        </w:rPr>
        <w:t xml:space="preserve"> </w:t>
      </w:r>
      <w:r w:rsidR="00511867">
        <w:rPr>
          <w:rFonts w:cs="David" w:hint="cs"/>
          <w:sz w:val="24"/>
          <w:szCs w:val="24"/>
          <w:rtl/>
        </w:rPr>
        <w:t xml:space="preserve">התקשרות בין חברות </w:t>
      </w:r>
      <w:r w:rsidR="00E535A2">
        <w:rPr>
          <w:rFonts w:cs="David" w:hint="cs"/>
          <w:sz w:val="24"/>
          <w:szCs w:val="24"/>
          <w:rtl/>
        </w:rPr>
        <w:t>ת</w:t>
      </w:r>
      <w:r w:rsidR="00511867">
        <w:rPr>
          <w:rFonts w:cs="David" w:hint="cs"/>
          <w:sz w:val="24"/>
          <w:szCs w:val="24"/>
          <w:rtl/>
        </w:rPr>
        <w:t>ובל</w:t>
      </w:r>
      <w:r w:rsidR="00E535A2">
        <w:rPr>
          <w:rFonts w:cs="David" w:hint="cs"/>
          <w:sz w:val="24"/>
          <w:szCs w:val="24"/>
          <w:rtl/>
        </w:rPr>
        <w:t>ה</w:t>
      </w:r>
      <w:r w:rsidR="00511867">
        <w:rPr>
          <w:rFonts w:cs="David" w:hint="cs"/>
          <w:sz w:val="24"/>
          <w:szCs w:val="24"/>
          <w:rtl/>
        </w:rPr>
        <w:t xml:space="preserve"> </w:t>
      </w:r>
      <w:r w:rsidR="00E535A2">
        <w:rPr>
          <w:rFonts w:cs="David" w:hint="cs"/>
          <w:sz w:val="24"/>
          <w:szCs w:val="24"/>
          <w:rtl/>
        </w:rPr>
        <w:t>כ</w:t>
      </w:r>
      <w:r w:rsidR="00511867">
        <w:rPr>
          <w:rFonts w:cs="David" w:hint="cs"/>
          <w:sz w:val="24"/>
          <w:szCs w:val="24"/>
          <w:rtl/>
        </w:rPr>
        <w:t>די ליצור רשת ארצית</w:t>
      </w:r>
      <w:r w:rsidR="00E535A2">
        <w:rPr>
          <w:rFonts w:cs="David" w:hint="cs"/>
          <w:sz w:val="24"/>
          <w:szCs w:val="24"/>
          <w:rtl/>
        </w:rPr>
        <w:t xml:space="preserve"> לתובלת תכולת דירות</w:t>
      </w:r>
      <w:r w:rsidR="00511867">
        <w:rPr>
          <w:rFonts w:cs="David" w:hint="cs"/>
          <w:sz w:val="24"/>
          <w:szCs w:val="24"/>
          <w:rtl/>
        </w:rPr>
        <w:t>;</w:t>
      </w:r>
      <w:bookmarkStart w:id="14" w:name="_Ref508210538"/>
      <w:r w:rsidR="00511867">
        <w:rPr>
          <w:rStyle w:val="FootnoteReference"/>
          <w:rFonts w:cs="David"/>
          <w:sz w:val="24"/>
          <w:szCs w:val="24"/>
          <w:rtl/>
        </w:rPr>
        <w:footnoteReference w:id="21"/>
      </w:r>
      <w:bookmarkEnd w:id="14"/>
      <w:r w:rsidR="00511867">
        <w:rPr>
          <w:rFonts w:cs="David" w:hint="cs"/>
          <w:sz w:val="24"/>
          <w:szCs w:val="24"/>
          <w:rtl/>
        </w:rPr>
        <w:t xml:space="preserve"> </w:t>
      </w:r>
      <w:r w:rsidR="002C003E">
        <w:rPr>
          <w:rFonts w:cs="David" w:hint="cs"/>
          <w:sz w:val="24"/>
          <w:szCs w:val="24"/>
          <w:rtl/>
        </w:rPr>
        <w:t xml:space="preserve">שיתוף-פעולה בין חברות טלוויזיה וחברות תקשורת לשם הקמת ערוץ טלוויזיה </w:t>
      </w:r>
      <w:proofErr w:type="spellStart"/>
      <w:r w:rsidR="002C003E">
        <w:rPr>
          <w:rFonts w:cs="David" w:hint="cs"/>
          <w:sz w:val="24"/>
          <w:szCs w:val="24"/>
          <w:rtl/>
        </w:rPr>
        <w:t>לווינית</w:t>
      </w:r>
      <w:proofErr w:type="spellEnd"/>
      <w:r w:rsidR="002C003E">
        <w:rPr>
          <w:rFonts w:cs="David" w:hint="cs"/>
          <w:sz w:val="24"/>
          <w:szCs w:val="24"/>
          <w:rtl/>
        </w:rPr>
        <w:t>;</w:t>
      </w:r>
      <w:bookmarkStart w:id="15" w:name="_Ref508210785"/>
      <w:r w:rsidR="002C003E">
        <w:rPr>
          <w:rStyle w:val="FootnoteReference"/>
          <w:rFonts w:cs="David"/>
          <w:sz w:val="24"/>
          <w:szCs w:val="24"/>
          <w:rtl/>
        </w:rPr>
        <w:footnoteReference w:id="22"/>
      </w:r>
      <w:bookmarkEnd w:id="15"/>
      <w:r w:rsidR="002C003E">
        <w:rPr>
          <w:rFonts w:cs="David" w:hint="cs"/>
          <w:sz w:val="24"/>
          <w:szCs w:val="24"/>
          <w:rtl/>
        </w:rPr>
        <w:t xml:space="preserve"> </w:t>
      </w:r>
      <w:r w:rsidR="00711B78">
        <w:rPr>
          <w:rFonts w:cs="David" w:hint="cs"/>
          <w:sz w:val="24"/>
          <w:szCs w:val="24"/>
          <w:rtl/>
        </w:rPr>
        <w:t>השכרת חנות במרכז מסחרי</w:t>
      </w:r>
      <w:r w:rsidR="002C003E">
        <w:rPr>
          <w:rFonts w:cs="David" w:hint="cs"/>
          <w:sz w:val="24"/>
          <w:szCs w:val="24"/>
          <w:rtl/>
        </w:rPr>
        <w:t>;</w:t>
      </w:r>
      <w:bookmarkStart w:id="16" w:name="_Ref508210656"/>
      <w:r w:rsidR="00711B78">
        <w:rPr>
          <w:rStyle w:val="FootnoteReference"/>
          <w:rFonts w:cs="David"/>
          <w:sz w:val="24"/>
          <w:szCs w:val="24"/>
          <w:rtl/>
        </w:rPr>
        <w:footnoteReference w:id="23"/>
      </w:r>
      <w:bookmarkEnd w:id="16"/>
      <w:r w:rsidR="002C003E">
        <w:rPr>
          <w:rFonts w:cs="David" w:hint="cs"/>
          <w:sz w:val="24"/>
          <w:szCs w:val="24"/>
          <w:rtl/>
        </w:rPr>
        <w:t xml:space="preserve"> שיתוף-פעולה במחקר ופיתוח בין יצרנים של מוצרי </w:t>
      </w:r>
      <w:proofErr w:type="spellStart"/>
      <w:r w:rsidR="002C003E">
        <w:rPr>
          <w:rFonts w:cs="David" w:hint="cs"/>
          <w:sz w:val="24"/>
          <w:szCs w:val="24"/>
          <w:rtl/>
        </w:rPr>
        <w:t>אלקטורניקה</w:t>
      </w:r>
      <w:proofErr w:type="spellEnd"/>
      <w:r w:rsidR="002C003E">
        <w:rPr>
          <w:rFonts w:cs="David" w:hint="cs"/>
          <w:sz w:val="24"/>
          <w:szCs w:val="24"/>
          <w:rtl/>
        </w:rPr>
        <w:t>;</w:t>
      </w:r>
      <w:r w:rsidR="002C003E">
        <w:rPr>
          <w:rStyle w:val="FootnoteReference"/>
          <w:rFonts w:cs="David"/>
          <w:sz w:val="24"/>
          <w:szCs w:val="24"/>
          <w:rtl/>
        </w:rPr>
        <w:footnoteReference w:id="24"/>
      </w:r>
      <w:r w:rsidR="002C003E">
        <w:rPr>
          <w:rFonts w:cs="David" w:hint="cs"/>
          <w:sz w:val="24"/>
          <w:szCs w:val="24"/>
          <w:rtl/>
        </w:rPr>
        <w:t xml:space="preserve"> שיתוף-פעולה בין חברות תוכנה לשם פיתוח מערכת הפעלה פתוחה;</w:t>
      </w:r>
      <w:r w:rsidR="002C003E">
        <w:rPr>
          <w:rStyle w:val="FootnoteReference"/>
          <w:rFonts w:cs="David"/>
          <w:sz w:val="24"/>
          <w:szCs w:val="24"/>
          <w:rtl/>
        </w:rPr>
        <w:footnoteReference w:id="25"/>
      </w:r>
      <w:r w:rsidR="002C003E">
        <w:rPr>
          <w:rFonts w:cs="David" w:hint="cs"/>
          <w:sz w:val="24"/>
          <w:szCs w:val="24"/>
          <w:rtl/>
        </w:rPr>
        <w:t xml:space="preserve"> שיתוף-פעולה בין קבוצ</w:t>
      </w:r>
      <w:r w:rsidR="00501F5B">
        <w:rPr>
          <w:rFonts w:cs="David" w:hint="cs"/>
          <w:sz w:val="24"/>
          <w:szCs w:val="24"/>
          <w:rtl/>
        </w:rPr>
        <w:t>ו</w:t>
      </w:r>
      <w:r w:rsidR="002C003E">
        <w:rPr>
          <w:rFonts w:cs="David" w:hint="cs"/>
          <w:sz w:val="24"/>
          <w:szCs w:val="24"/>
          <w:rtl/>
        </w:rPr>
        <w:t>ת כדורגל לשם הקמת ליגה ארצית.</w:t>
      </w:r>
      <w:bookmarkStart w:id="17" w:name="_Ref508016668"/>
      <w:r w:rsidR="002C003E">
        <w:rPr>
          <w:rStyle w:val="FootnoteReference"/>
          <w:rFonts w:cs="David"/>
          <w:sz w:val="24"/>
          <w:szCs w:val="24"/>
          <w:rtl/>
        </w:rPr>
        <w:footnoteReference w:id="26"/>
      </w:r>
      <w:bookmarkEnd w:id="17"/>
      <w:r w:rsidR="00711B78">
        <w:rPr>
          <w:rFonts w:cs="David" w:hint="cs"/>
          <w:sz w:val="24"/>
          <w:szCs w:val="24"/>
          <w:rtl/>
        </w:rPr>
        <w:t xml:space="preserve"> אין הכרח ששיתוף-הפעולה יהיה </w:t>
      </w:r>
      <w:r w:rsidR="004B6BF9">
        <w:rPr>
          <w:rFonts w:cs="David" w:hint="cs"/>
          <w:sz w:val="24"/>
          <w:szCs w:val="24"/>
          <w:rtl/>
        </w:rPr>
        <w:t>מורכב</w:t>
      </w:r>
      <w:r w:rsidR="00711B78">
        <w:rPr>
          <w:rFonts w:cs="David" w:hint="cs"/>
          <w:sz w:val="24"/>
          <w:szCs w:val="24"/>
          <w:rtl/>
        </w:rPr>
        <w:t xml:space="preserve"> במיוחד או בהיקף כספי גדול. בפסיקה ובספרות מצביעים על הדוגמה הפשוטה והרווחת של שיתוף-פעולה בין עורכי-דין לשם הקמת משרד עורכי-דין.</w:t>
      </w:r>
      <w:bookmarkStart w:id="18" w:name="_Ref508210900"/>
      <w:r w:rsidR="00711B78">
        <w:rPr>
          <w:rStyle w:val="FootnoteReference"/>
          <w:rFonts w:cs="David"/>
          <w:sz w:val="24"/>
          <w:szCs w:val="24"/>
          <w:rtl/>
        </w:rPr>
        <w:footnoteReference w:id="27"/>
      </w:r>
      <w:bookmarkEnd w:id="18"/>
      <w:r w:rsidR="00711B78">
        <w:rPr>
          <w:rFonts w:cs="David" w:hint="cs"/>
          <w:sz w:val="24"/>
          <w:szCs w:val="24"/>
          <w:rtl/>
        </w:rPr>
        <w:t xml:space="preserve"> אלה דוגמות להמחשה בלבד, ויש לבחון כל מקרה לפי נסיבותיו.</w:t>
      </w:r>
    </w:p>
    <w:p w14:paraId="7DC04AD2" w14:textId="51193E41" w:rsidR="006C5ABF" w:rsidRDefault="006961CF" w:rsidP="008108E0">
      <w:pPr>
        <w:spacing w:before="240" w:after="0" w:line="360" w:lineRule="auto"/>
        <w:jc w:val="both"/>
        <w:rPr>
          <w:rFonts w:cs="David"/>
          <w:sz w:val="24"/>
          <w:szCs w:val="24"/>
          <w:rtl/>
        </w:rPr>
      </w:pPr>
      <w:r>
        <w:rPr>
          <w:rFonts w:cs="David" w:hint="cs"/>
          <w:sz w:val="24"/>
          <w:szCs w:val="24"/>
          <w:rtl/>
        </w:rPr>
        <w:t>בכל הדוגמות שהבאנו לעיל מדובר בשילוב כוחות עסקיים לשם ייעול, הגדלת תפוקה</w:t>
      </w:r>
      <w:r w:rsidR="003D6E1F">
        <w:rPr>
          <w:rFonts w:cs="David" w:hint="cs"/>
          <w:sz w:val="24"/>
          <w:szCs w:val="24"/>
          <w:rtl/>
        </w:rPr>
        <w:t>, שיפור המוצר</w:t>
      </w:r>
      <w:r>
        <w:rPr>
          <w:rFonts w:cs="David" w:hint="cs"/>
          <w:sz w:val="24"/>
          <w:szCs w:val="24"/>
          <w:rtl/>
        </w:rPr>
        <w:t xml:space="preserve"> וכדומה. </w:t>
      </w:r>
      <w:r w:rsidR="00E535A2">
        <w:rPr>
          <w:rFonts w:cs="David" w:hint="cs"/>
          <w:sz w:val="24"/>
          <w:szCs w:val="24"/>
          <w:rtl/>
        </w:rPr>
        <w:t>רשות התחרות הקנדית תיארה זאת כך:</w:t>
      </w:r>
      <w:r w:rsidR="00AE7A26">
        <w:rPr>
          <w:rFonts w:cs="David" w:hint="cs"/>
          <w:sz w:val="24"/>
          <w:szCs w:val="24"/>
          <w:rtl/>
        </w:rPr>
        <w:t xml:space="preserve"> </w:t>
      </w:r>
      <w:r w:rsidR="00AE7A26">
        <w:rPr>
          <w:rFonts w:cs="David" w:hint="cs"/>
          <w:b/>
          <w:bCs/>
          <w:sz w:val="24"/>
          <w:szCs w:val="24"/>
          <w:rtl/>
        </w:rPr>
        <w:t>"</w:t>
      </w:r>
      <w:r w:rsidR="00AE7A26">
        <w:rPr>
          <w:rFonts w:asciiTheme="majorBidi" w:hAnsiTheme="majorBidi" w:cstheme="majorBidi"/>
          <w:b/>
          <w:bCs/>
          <w:sz w:val="24"/>
          <w:szCs w:val="24"/>
        </w:rPr>
        <w:t>a legitimate collaboration, strategic alliance or joint venture</w:t>
      </w:r>
      <w:r w:rsidR="00AE7A26">
        <w:rPr>
          <w:rFonts w:cs="David" w:hint="cs"/>
          <w:b/>
          <w:bCs/>
          <w:sz w:val="24"/>
          <w:szCs w:val="24"/>
          <w:rtl/>
        </w:rPr>
        <w:t>"</w:t>
      </w:r>
      <w:r w:rsidR="00E535A2">
        <w:rPr>
          <w:rFonts w:hint="cs"/>
          <w:rtl/>
        </w:rPr>
        <w:t>.</w:t>
      </w:r>
      <w:bookmarkStart w:id="19" w:name="_Ref508212460"/>
      <w:r w:rsidR="00E535A2">
        <w:rPr>
          <w:rStyle w:val="FootnoteReference"/>
          <w:rtl/>
        </w:rPr>
        <w:footnoteReference w:id="28"/>
      </w:r>
      <w:bookmarkEnd w:id="19"/>
      <w:r w:rsidR="00E535A2">
        <w:rPr>
          <w:rFonts w:hint="cs"/>
          <w:rtl/>
        </w:rPr>
        <w:t xml:space="preserve"> </w:t>
      </w:r>
      <w:r w:rsidR="006C5ABF">
        <w:rPr>
          <w:rFonts w:cs="David" w:hint="cs"/>
          <w:sz w:val="24"/>
          <w:szCs w:val="24"/>
          <w:rtl/>
        </w:rPr>
        <w:t>רשויות אכיפת דיני ההגבלים העסקיים בארה"ב הסבירו את העניין  כך:</w:t>
      </w:r>
      <w:bookmarkStart w:id="20" w:name="_Ref494374882"/>
      <w:r w:rsidR="006C5ABF">
        <w:rPr>
          <w:rStyle w:val="FootnoteReference"/>
          <w:rFonts w:cs="David"/>
          <w:sz w:val="24"/>
          <w:szCs w:val="24"/>
          <w:rtl/>
        </w:rPr>
        <w:footnoteReference w:id="29"/>
      </w:r>
      <w:bookmarkEnd w:id="20"/>
    </w:p>
    <w:p w14:paraId="55034A15" w14:textId="77777777" w:rsidR="006C5ABF" w:rsidRPr="006C5ABF" w:rsidRDefault="006C5ABF" w:rsidP="009557D4">
      <w:pPr>
        <w:pStyle w:val="a"/>
        <w:rPr>
          <w:rFonts w:cs="David"/>
        </w:rPr>
      </w:pPr>
      <w:r w:rsidRPr="006C5ABF">
        <w:lastRenderedPageBreak/>
        <w:t>In an efficiency enhancing integration, participants collaborate to perform or cause to be performed (by a joint venture entity created by the collaboration or by one or more participants or by a third party acting on behalf of other participants) one or more business functions, such as production, distribution, marketing, purchasing or R&amp;D, and thereby benefit, or potentially benefit, consumers by expanding output, reducing price, or enhancing quality, service, or innovation. Participants in an efficiency-enhancing integration typically combine, by contract or otherwise, significant capital, technology, or other complementary assets to achieve procompetitive benefits that the</w:t>
      </w:r>
      <w:r>
        <w:t xml:space="preserve"> </w:t>
      </w:r>
      <w:r w:rsidRPr="006C5ABF">
        <w:t>participants could not achieve separately. The mere coordination of decisions on price, output, customers, territories, and the like is not integration, and cost savings without integration are not a basis for avoiding per se condemnation.</w:t>
      </w:r>
    </w:p>
    <w:p w14:paraId="246E71C1" w14:textId="5C4F60F0" w:rsidR="00CE2899" w:rsidRPr="00057443" w:rsidRDefault="0050710A" w:rsidP="0050710A">
      <w:pPr>
        <w:spacing w:before="240" w:after="0" w:line="360" w:lineRule="auto"/>
        <w:jc w:val="both"/>
        <w:rPr>
          <w:rFonts w:asciiTheme="majorBidi" w:hAnsiTheme="majorBidi" w:cs="David"/>
          <w:sz w:val="24"/>
          <w:szCs w:val="24"/>
          <w:rtl/>
        </w:rPr>
      </w:pPr>
      <w:r>
        <w:rPr>
          <w:rFonts w:cs="David" w:hint="cs"/>
          <w:sz w:val="24"/>
          <w:szCs w:val="24"/>
          <w:rtl/>
        </w:rPr>
        <w:t>אם כן</w:t>
      </w:r>
      <w:r w:rsidR="00D81883">
        <w:rPr>
          <w:rFonts w:cs="David" w:hint="cs"/>
          <w:sz w:val="24"/>
          <w:szCs w:val="24"/>
          <w:rtl/>
        </w:rPr>
        <w:t xml:space="preserve">, </w:t>
      </w:r>
      <w:r w:rsidR="00D81883">
        <w:rPr>
          <w:rFonts w:cs="David" w:hint="cs"/>
          <w:b/>
          <w:bCs/>
          <w:sz w:val="24"/>
          <w:szCs w:val="24"/>
          <w:rtl/>
        </w:rPr>
        <w:t>"עיקרו של ההסדר"</w:t>
      </w:r>
      <w:r w:rsidR="00D81883">
        <w:rPr>
          <w:rFonts w:cs="David" w:hint="cs"/>
          <w:sz w:val="24"/>
          <w:szCs w:val="24"/>
          <w:rtl/>
        </w:rPr>
        <w:t xml:space="preserve"> הוא אותו שילוב כוחות עסקיים לשם ייעול, הגדלת תפוקה</w:t>
      </w:r>
      <w:r w:rsidR="003D6E1F">
        <w:rPr>
          <w:rFonts w:cs="David" w:hint="cs"/>
          <w:sz w:val="24"/>
          <w:szCs w:val="24"/>
          <w:rtl/>
        </w:rPr>
        <w:t>, שיפור המוצר</w:t>
      </w:r>
      <w:r w:rsidR="00D81883">
        <w:rPr>
          <w:rFonts w:cs="David" w:hint="cs"/>
          <w:sz w:val="24"/>
          <w:szCs w:val="24"/>
          <w:rtl/>
        </w:rPr>
        <w:t xml:space="preserve"> וכדומה. כך, </w:t>
      </w:r>
      <w:r w:rsidR="005B70AD">
        <w:rPr>
          <w:rFonts w:cs="David" w:hint="cs"/>
          <w:sz w:val="24"/>
          <w:szCs w:val="24"/>
          <w:rtl/>
        </w:rPr>
        <w:t xml:space="preserve">בהחלטת הממונה בעניין לב </w:t>
      </w:r>
      <w:proofErr w:type="spellStart"/>
      <w:r w:rsidR="005B70AD">
        <w:rPr>
          <w:rFonts w:cs="David" w:hint="cs"/>
          <w:sz w:val="24"/>
          <w:szCs w:val="24"/>
          <w:rtl/>
        </w:rPr>
        <w:t>גרופ</w:t>
      </w:r>
      <w:proofErr w:type="spellEnd"/>
      <w:r w:rsidR="005B70AD">
        <w:rPr>
          <w:rFonts w:cs="David" w:hint="cs"/>
          <w:sz w:val="24"/>
          <w:szCs w:val="24"/>
          <w:rtl/>
        </w:rPr>
        <w:t xml:space="preserve"> מדיה </w:t>
      </w:r>
      <w:proofErr w:type="spellStart"/>
      <w:r w:rsidR="005B70AD">
        <w:rPr>
          <w:rFonts w:cs="David" w:hint="cs"/>
          <w:sz w:val="24"/>
          <w:szCs w:val="24"/>
          <w:rtl/>
        </w:rPr>
        <w:t>והליקון</w:t>
      </w:r>
      <w:proofErr w:type="spellEnd"/>
      <w:r w:rsidR="005B70AD">
        <w:rPr>
          <w:rFonts w:cs="David" w:hint="cs"/>
          <w:sz w:val="24"/>
          <w:szCs w:val="24"/>
          <w:rtl/>
        </w:rPr>
        <w:t xml:space="preserve">, תחת הכותרת </w:t>
      </w:r>
      <w:r w:rsidR="005B70AD">
        <w:rPr>
          <w:rFonts w:cs="David" w:hint="cs"/>
          <w:b/>
          <w:bCs/>
          <w:sz w:val="24"/>
          <w:szCs w:val="24"/>
          <w:rtl/>
        </w:rPr>
        <w:t>"</w:t>
      </w:r>
      <w:r w:rsidR="005B70AD" w:rsidRPr="00057443">
        <w:rPr>
          <w:rFonts w:cs="David" w:hint="cs"/>
          <w:b/>
          <w:bCs/>
          <w:sz w:val="24"/>
          <w:szCs w:val="24"/>
          <w:u w:val="single"/>
          <w:rtl/>
        </w:rPr>
        <w:t>עיקרו של ההסדר</w:t>
      </w:r>
      <w:r w:rsidR="005B70AD">
        <w:rPr>
          <w:rFonts w:cs="David" w:hint="cs"/>
          <w:b/>
          <w:bCs/>
          <w:sz w:val="24"/>
          <w:szCs w:val="24"/>
          <w:rtl/>
        </w:rPr>
        <w:t>"</w:t>
      </w:r>
      <w:r w:rsidR="005B70AD">
        <w:rPr>
          <w:rFonts w:cs="David" w:hint="cs"/>
          <w:sz w:val="24"/>
          <w:szCs w:val="24"/>
          <w:rtl/>
        </w:rPr>
        <w:t xml:space="preserve">, נאמר </w:t>
      </w:r>
      <w:r w:rsidR="005B70AD">
        <w:rPr>
          <w:rFonts w:cs="David" w:hint="cs"/>
          <w:b/>
          <w:bCs/>
          <w:sz w:val="24"/>
          <w:szCs w:val="24"/>
          <w:rtl/>
        </w:rPr>
        <w:t xml:space="preserve">"ההסדר נועד לאפשר ללב </w:t>
      </w:r>
      <w:proofErr w:type="spellStart"/>
      <w:r w:rsidR="005B70AD">
        <w:rPr>
          <w:rFonts w:cs="David" w:hint="cs"/>
          <w:b/>
          <w:bCs/>
          <w:sz w:val="24"/>
          <w:szCs w:val="24"/>
          <w:rtl/>
        </w:rPr>
        <w:t>גרופ</w:t>
      </w:r>
      <w:proofErr w:type="spellEnd"/>
      <w:r w:rsidR="005B70AD">
        <w:rPr>
          <w:rFonts w:cs="David" w:hint="cs"/>
          <w:b/>
          <w:bCs/>
          <w:sz w:val="24"/>
          <w:szCs w:val="24"/>
          <w:rtl/>
        </w:rPr>
        <w:t xml:space="preserve"> להפיץ את המוצרים שבהסדר"</w:t>
      </w:r>
      <w:r w:rsidR="005B70AD">
        <w:rPr>
          <w:rFonts w:cs="David" w:hint="cs"/>
          <w:sz w:val="24"/>
          <w:szCs w:val="24"/>
          <w:rtl/>
        </w:rPr>
        <w:t>.</w:t>
      </w:r>
      <w:r w:rsidR="005B70AD">
        <w:rPr>
          <w:rStyle w:val="FootnoteReference"/>
          <w:rFonts w:cs="David"/>
          <w:sz w:val="24"/>
          <w:szCs w:val="24"/>
          <w:rtl/>
        </w:rPr>
        <w:footnoteReference w:id="30"/>
      </w:r>
      <w:r w:rsidR="00BA5124">
        <w:rPr>
          <w:rFonts w:cs="David" w:hint="cs"/>
          <w:sz w:val="24"/>
          <w:szCs w:val="24"/>
          <w:rtl/>
        </w:rPr>
        <w:t xml:space="preserve"> בהחלטת הממונה בעניין ג'נרל מילס ישראל ונגה גלידות נאמר </w:t>
      </w:r>
      <w:r w:rsidR="00BA5124">
        <w:rPr>
          <w:rFonts w:cs="David" w:hint="cs"/>
          <w:b/>
          <w:bCs/>
          <w:sz w:val="24"/>
          <w:szCs w:val="24"/>
          <w:rtl/>
        </w:rPr>
        <w:t>"ההסדר שבפני הוא הסדר שעיקרו הפצה של מוצרים . . ."</w:t>
      </w:r>
      <w:r w:rsidR="00BA5124">
        <w:rPr>
          <w:rFonts w:cs="David" w:hint="cs"/>
          <w:sz w:val="24"/>
          <w:szCs w:val="24"/>
          <w:rtl/>
        </w:rPr>
        <w:t>.</w:t>
      </w:r>
      <w:r w:rsidR="00BA5124">
        <w:rPr>
          <w:rStyle w:val="FootnoteReference"/>
          <w:rFonts w:cs="David"/>
          <w:sz w:val="24"/>
          <w:szCs w:val="24"/>
          <w:rtl/>
        </w:rPr>
        <w:footnoteReference w:id="31"/>
      </w:r>
      <w:r w:rsidR="005B70AD">
        <w:rPr>
          <w:rFonts w:cs="David" w:hint="cs"/>
          <w:sz w:val="24"/>
          <w:szCs w:val="24"/>
          <w:rtl/>
        </w:rPr>
        <w:t xml:space="preserve"> </w:t>
      </w:r>
      <w:r w:rsidR="00BC6232">
        <w:rPr>
          <w:rFonts w:cs="David" w:hint="cs"/>
          <w:sz w:val="24"/>
          <w:szCs w:val="24"/>
          <w:rtl/>
        </w:rPr>
        <w:t xml:space="preserve">בהחלטת הממונה בעניין תנובה </w:t>
      </w:r>
      <w:proofErr w:type="spellStart"/>
      <w:r w:rsidR="00BC6232">
        <w:rPr>
          <w:rFonts w:cs="David" w:hint="cs"/>
          <w:sz w:val="24"/>
          <w:szCs w:val="24"/>
          <w:rtl/>
        </w:rPr>
        <w:t>וא.י.ן</w:t>
      </w:r>
      <w:proofErr w:type="spellEnd"/>
      <w:r w:rsidR="00BC6232">
        <w:rPr>
          <w:rFonts w:cs="David" w:hint="cs"/>
          <w:sz w:val="24"/>
          <w:szCs w:val="24"/>
          <w:rtl/>
        </w:rPr>
        <w:t xml:space="preserve"> תעשיות מזון נאמר </w:t>
      </w:r>
      <w:r w:rsidR="00BC6232">
        <w:rPr>
          <w:rFonts w:cs="David" w:hint="cs"/>
          <w:b/>
          <w:bCs/>
          <w:sz w:val="24"/>
          <w:szCs w:val="24"/>
          <w:rtl/>
        </w:rPr>
        <w:t xml:space="preserve">"עיקרו של ההסדר הוא בייצור מוצרי טופו על ידי </w:t>
      </w:r>
      <w:proofErr w:type="spellStart"/>
      <w:r w:rsidR="00BC6232">
        <w:rPr>
          <w:rFonts w:cs="David" w:hint="cs"/>
          <w:b/>
          <w:bCs/>
          <w:sz w:val="24"/>
          <w:szCs w:val="24"/>
          <w:rtl/>
        </w:rPr>
        <w:t>א.י.ן</w:t>
      </w:r>
      <w:proofErr w:type="spellEnd"/>
      <w:r w:rsidR="00BC6232">
        <w:rPr>
          <w:rFonts w:cs="David" w:hint="cs"/>
          <w:b/>
          <w:bCs/>
          <w:sz w:val="24"/>
          <w:szCs w:val="24"/>
          <w:rtl/>
        </w:rPr>
        <w:t xml:space="preserve"> תעשיות עבור תנובה . . ."</w:t>
      </w:r>
      <w:r w:rsidR="00BC6232">
        <w:rPr>
          <w:rFonts w:cs="David" w:hint="cs"/>
          <w:sz w:val="24"/>
          <w:szCs w:val="24"/>
          <w:rtl/>
        </w:rPr>
        <w:t>.</w:t>
      </w:r>
      <w:r w:rsidR="00BC6232">
        <w:rPr>
          <w:rStyle w:val="FootnoteReference"/>
          <w:rFonts w:cs="David"/>
          <w:sz w:val="24"/>
          <w:szCs w:val="24"/>
          <w:rtl/>
        </w:rPr>
        <w:footnoteReference w:id="32"/>
      </w:r>
      <w:r w:rsidR="00BC6232">
        <w:rPr>
          <w:rFonts w:cs="David" w:hint="cs"/>
          <w:sz w:val="24"/>
          <w:szCs w:val="24"/>
          <w:rtl/>
        </w:rPr>
        <w:t xml:space="preserve"> </w:t>
      </w:r>
      <w:r w:rsidR="00013277">
        <w:rPr>
          <w:rFonts w:cs="David" w:hint="cs"/>
          <w:sz w:val="24"/>
          <w:szCs w:val="24"/>
          <w:rtl/>
        </w:rPr>
        <w:t>בדומה, ב</w:t>
      </w:r>
      <w:r w:rsidR="00CE2899">
        <w:rPr>
          <w:rFonts w:cs="David" w:hint="cs"/>
          <w:sz w:val="24"/>
          <w:szCs w:val="24"/>
          <w:rtl/>
        </w:rPr>
        <w:t xml:space="preserve">פסק-הדין בעניין </w:t>
      </w:r>
      <w:r w:rsidR="00CE2899" w:rsidRPr="00057443">
        <w:rPr>
          <w:rFonts w:asciiTheme="majorBidi" w:hAnsiTheme="majorBidi" w:cstheme="majorBidi"/>
          <w:b/>
          <w:bCs/>
          <w:sz w:val="24"/>
          <w:szCs w:val="24"/>
        </w:rPr>
        <w:t>Los Angeles Memorial Coliseum</w:t>
      </w:r>
      <w:r w:rsidR="00E048F1">
        <w:rPr>
          <w:rFonts w:cs="David" w:hint="cs"/>
          <w:sz w:val="24"/>
          <w:szCs w:val="24"/>
          <w:rtl/>
        </w:rPr>
        <w:t xml:space="preserve"> </w:t>
      </w:r>
      <w:proofErr w:type="spellStart"/>
      <w:r w:rsidR="00E048F1">
        <w:rPr>
          <w:rFonts w:cs="David" w:hint="cs"/>
          <w:sz w:val="24"/>
          <w:szCs w:val="24"/>
          <w:rtl/>
        </w:rPr>
        <w:t>צ</w:t>
      </w:r>
      <w:r w:rsidR="00D26336">
        <w:rPr>
          <w:rFonts w:cs="David" w:hint="cs"/>
          <w:sz w:val="24"/>
          <w:szCs w:val="24"/>
          <w:rtl/>
        </w:rPr>
        <w:t>וי</w:t>
      </w:r>
      <w:r w:rsidR="00E048F1">
        <w:rPr>
          <w:rFonts w:cs="David" w:hint="cs"/>
          <w:sz w:val="24"/>
          <w:szCs w:val="24"/>
          <w:rtl/>
        </w:rPr>
        <w:t>ין</w:t>
      </w:r>
      <w:proofErr w:type="spellEnd"/>
      <w:r w:rsidR="00E048F1">
        <w:rPr>
          <w:rFonts w:cs="David" w:hint="cs"/>
          <w:sz w:val="24"/>
          <w:szCs w:val="24"/>
          <w:rtl/>
        </w:rPr>
        <w:t xml:space="preserve"> כי </w:t>
      </w:r>
      <w:r w:rsidR="00E048F1">
        <w:rPr>
          <w:rFonts w:cs="David" w:hint="cs"/>
          <w:b/>
          <w:bCs/>
          <w:sz w:val="24"/>
          <w:szCs w:val="24"/>
          <w:rtl/>
        </w:rPr>
        <w:t>"עיקר"</w:t>
      </w:r>
      <w:r w:rsidR="00E048F1">
        <w:rPr>
          <w:rFonts w:cs="David" w:hint="cs"/>
          <w:sz w:val="24"/>
          <w:szCs w:val="24"/>
          <w:rtl/>
        </w:rPr>
        <w:t xml:space="preserve"> ההסכם הוא הפעלת ליגת כדורגל</w:t>
      </w:r>
      <w:r w:rsidR="00CE2899">
        <w:rPr>
          <w:rFonts w:cs="David" w:hint="cs"/>
          <w:sz w:val="24"/>
          <w:szCs w:val="24"/>
          <w:rtl/>
        </w:rPr>
        <w:t xml:space="preserve">: </w:t>
      </w:r>
      <w:r w:rsidR="001E7E5A">
        <w:rPr>
          <w:rFonts w:cs="David" w:hint="cs"/>
          <w:b/>
          <w:bCs/>
          <w:sz w:val="24"/>
          <w:szCs w:val="24"/>
          <w:rtl/>
        </w:rPr>
        <w:t>"</w:t>
      </w:r>
      <w:r w:rsidR="001E7E5A" w:rsidRPr="00057443">
        <w:rPr>
          <w:rFonts w:asciiTheme="majorBidi" w:hAnsiTheme="majorBidi" w:cstheme="majorBidi"/>
          <w:b/>
          <w:bCs/>
          <w:sz w:val="24"/>
          <w:szCs w:val="24"/>
          <w:u w:val="single"/>
        </w:rPr>
        <w:t>main purpose</w:t>
      </w:r>
      <w:r w:rsidR="00D26336">
        <w:rPr>
          <w:rFonts w:asciiTheme="majorBidi" w:hAnsiTheme="majorBidi" w:cstheme="majorBidi"/>
          <w:b/>
          <w:bCs/>
          <w:sz w:val="24"/>
          <w:szCs w:val="24"/>
        </w:rPr>
        <w:t xml:space="preserve"> of producing NFL football</w:t>
      </w:r>
      <w:r w:rsidR="001E7E5A" w:rsidRPr="00D74C09">
        <w:rPr>
          <w:rFonts w:cs="David" w:hint="cs"/>
          <w:b/>
          <w:bCs/>
          <w:sz w:val="24"/>
          <w:szCs w:val="24"/>
          <w:rtl/>
        </w:rPr>
        <w:t>"</w:t>
      </w:r>
      <w:r w:rsidR="001E7E5A" w:rsidRPr="00057443">
        <w:rPr>
          <w:rFonts w:asciiTheme="majorBidi" w:hAnsiTheme="majorBidi" w:cstheme="majorBidi"/>
          <w:sz w:val="24"/>
          <w:szCs w:val="24"/>
          <w:rtl/>
        </w:rPr>
        <w:t>.</w:t>
      </w:r>
      <w:r w:rsidR="001E7E5A" w:rsidRPr="00057443">
        <w:rPr>
          <w:rStyle w:val="FootnoteReference"/>
          <w:rFonts w:asciiTheme="majorBidi" w:hAnsiTheme="majorBidi" w:cstheme="majorBidi"/>
          <w:sz w:val="24"/>
          <w:szCs w:val="24"/>
          <w:rtl/>
        </w:rPr>
        <w:footnoteReference w:id="33"/>
      </w:r>
      <w:r w:rsidR="00861267">
        <w:rPr>
          <w:rFonts w:asciiTheme="majorBidi" w:hAnsiTheme="majorBidi" w:cstheme="majorBidi" w:hint="cs"/>
          <w:sz w:val="24"/>
          <w:szCs w:val="24"/>
          <w:rtl/>
        </w:rPr>
        <w:t xml:space="preserve"> </w:t>
      </w:r>
      <w:r w:rsidR="00861267">
        <w:rPr>
          <w:rFonts w:asciiTheme="majorBidi" w:hAnsiTheme="majorBidi" w:cs="David" w:hint="cs"/>
          <w:sz w:val="24"/>
          <w:szCs w:val="24"/>
          <w:rtl/>
        </w:rPr>
        <w:t xml:space="preserve">בעניין </w:t>
      </w:r>
      <w:proofErr w:type="spellStart"/>
      <w:r w:rsidR="00861267">
        <w:rPr>
          <w:rFonts w:asciiTheme="majorBidi" w:hAnsiTheme="majorBidi" w:cs="David"/>
          <w:b/>
          <w:bCs/>
          <w:sz w:val="24"/>
          <w:szCs w:val="24"/>
        </w:rPr>
        <w:t>Addyston</w:t>
      </w:r>
      <w:proofErr w:type="spellEnd"/>
      <w:r w:rsidR="00E048F1">
        <w:rPr>
          <w:rFonts w:asciiTheme="majorBidi" w:hAnsiTheme="majorBidi" w:cs="David" w:hint="cs"/>
          <w:sz w:val="24"/>
          <w:szCs w:val="24"/>
          <w:rtl/>
        </w:rPr>
        <w:t>, תיאר בית-המשפט הסדר ש</w:t>
      </w:r>
      <w:r w:rsidR="00E048F1">
        <w:rPr>
          <w:rFonts w:asciiTheme="majorBidi" w:hAnsiTheme="majorBidi" w:cs="David" w:hint="cs"/>
          <w:b/>
          <w:bCs/>
          <w:sz w:val="24"/>
          <w:szCs w:val="24"/>
          <w:rtl/>
        </w:rPr>
        <w:t>"עיקרו"</w:t>
      </w:r>
      <w:r w:rsidR="00E048F1">
        <w:rPr>
          <w:rFonts w:asciiTheme="majorBidi" w:hAnsiTheme="majorBidi" w:cs="David" w:hint="cs"/>
          <w:sz w:val="24"/>
          <w:szCs w:val="24"/>
          <w:rtl/>
        </w:rPr>
        <w:t xml:space="preserve"> הוא איחוד הון, עשייה ומרץ לשם ניהול עסק מוצלח ומועיל</w:t>
      </w:r>
      <w:r w:rsidR="00861267" w:rsidRPr="00057443">
        <w:rPr>
          <w:rFonts w:asciiTheme="majorBidi" w:hAnsiTheme="majorBidi" w:cs="David" w:hint="cs"/>
          <w:sz w:val="24"/>
          <w:szCs w:val="24"/>
          <w:rtl/>
        </w:rPr>
        <w:t>:</w:t>
      </w:r>
      <w:bookmarkStart w:id="21" w:name="_Ref508208654"/>
      <w:r w:rsidR="00861267" w:rsidRPr="00057443">
        <w:rPr>
          <w:rStyle w:val="FootnoteReference"/>
          <w:rFonts w:asciiTheme="majorBidi" w:hAnsiTheme="majorBidi" w:cs="David"/>
          <w:sz w:val="24"/>
          <w:szCs w:val="24"/>
          <w:rtl/>
        </w:rPr>
        <w:footnoteReference w:id="34"/>
      </w:r>
      <w:bookmarkEnd w:id="21"/>
    </w:p>
    <w:p w14:paraId="64F59C82" w14:textId="7B7DDE11" w:rsidR="00861267" w:rsidRPr="00057443" w:rsidRDefault="0093612E" w:rsidP="009557D4">
      <w:pPr>
        <w:pStyle w:val="a"/>
        <w:rPr>
          <w:rFonts w:cs="David"/>
          <w:sz w:val="32"/>
          <w:szCs w:val="32"/>
        </w:rPr>
      </w:pPr>
      <w:r>
        <w:t xml:space="preserve">. . . </w:t>
      </w:r>
      <w:proofErr w:type="gramStart"/>
      <w:r w:rsidR="00861267" w:rsidRPr="00057443">
        <w:t>the</w:t>
      </w:r>
      <w:proofErr w:type="gramEnd"/>
      <w:r w:rsidR="00861267" w:rsidRPr="00057443">
        <w:t xml:space="preserve"> </w:t>
      </w:r>
      <w:r w:rsidR="00861267" w:rsidRPr="00057443">
        <w:rPr>
          <w:u w:val="single"/>
        </w:rPr>
        <w:t>main purpose</w:t>
      </w:r>
      <w:r w:rsidR="00861267" w:rsidRPr="00057443">
        <w:t xml:space="preserve"> of a union of their capital, enterprise, and energy to carry on a successful business, and one useful to the community.</w:t>
      </w:r>
    </w:p>
    <w:p w14:paraId="7FCA4090" w14:textId="44F5E8D5" w:rsidR="000C7C0A" w:rsidRPr="00307D6A" w:rsidRDefault="000F7517" w:rsidP="000C7C0A">
      <w:pPr>
        <w:spacing w:before="240" w:after="0" w:line="360" w:lineRule="auto"/>
        <w:jc w:val="both"/>
        <w:rPr>
          <w:rFonts w:cs="David"/>
          <w:sz w:val="24"/>
          <w:szCs w:val="24"/>
          <w:rtl/>
        </w:rPr>
      </w:pPr>
      <w:r>
        <w:rPr>
          <w:rFonts w:cs="David" w:hint="cs"/>
          <w:sz w:val="24"/>
          <w:szCs w:val="24"/>
          <w:rtl/>
        </w:rPr>
        <w:t>לעומת כל אלה, ישנם הסדרים שעיקרם בהפחתת התחרות או במניעתה</w:t>
      </w:r>
      <w:r w:rsidR="00065D50">
        <w:rPr>
          <w:rFonts w:cs="David" w:hint="cs"/>
          <w:sz w:val="24"/>
          <w:szCs w:val="24"/>
          <w:rtl/>
        </w:rPr>
        <w:t xml:space="preserve">. </w:t>
      </w:r>
      <w:r w:rsidR="000C7C0A">
        <w:rPr>
          <w:rFonts w:cs="David" w:hint="cs"/>
          <w:sz w:val="24"/>
          <w:szCs w:val="24"/>
          <w:rtl/>
        </w:rPr>
        <w:t>ראו לדוגמה את החלטת הממונה בעניין אי-מתן פטור לאיגוד המוסכים:</w:t>
      </w:r>
      <w:r w:rsidR="000C7C0A">
        <w:rPr>
          <w:rStyle w:val="FootnoteReference"/>
          <w:rFonts w:cs="David"/>
          <w:sz w:val="24"/>
          <w:szCs w:val="24"/>
          <w:rtl/>
        </w:rPr>
        <w:footnoteReference w:id="35"/>
      </w:r>
    </w:p>
    <w:p w14:paraId="0D1BE3A7" w14:textId="77777777" w:rsidR="000C7C0A" w:rsidRDefault="000C7C0A" w:rsidP="00B42807">
      <w:pPr>
        <w:pStyle w:val="Quote"/>
        <w:rPr>
          <w:rtl/>
        </w:rPr>
      </w:pPr>
      <w:r>
        <w:rPr>
          <w:rFonts w:hint="cs"/>
          <w:rtl/>
        </w:rPr>
        <w:t>משאמרתי דברים אלה ביחס למצבו הנוכחי של השוק, אוכל לבחון את פעולתו הצפויה של ההסכם לניהול מו"מ משותף על השוק. בתיאור דלעיל של מצב השוק כיום טמון גם ההסבר לסיווגו של ההסכם כהסכם שעיקרו בהפחת</w:t>
      </w:r>
      <w:r w:rsidRPr="00B42807">
        <w:rPr>
          <w:rFonts w:hint="cs"/>
          <w:rtl/>
        </w:rPr>
        <w:t>ת</w:t>
      </w:r>
      <w:r>
        <w:rPr>
          <w:rFonts w:hint="cs"/>
          <w:rtl/>
        </w:rPr>
        <w:t xml:space="preserve"> התחרות או במניעתה: המוסכים מבקשים לרכז את כלל </w:t>
      </w:r>
      <w:proofErr w:type="spellStart"/>
      <w:r>
        <w:rPr>
          <w:rFonts w:hint="cs"/>
          <w:rtl/>
        </w:rPr>
        <w:t>המשאים</w:t>
      </w:r>
      <w:proofErr w:type="spellEnd"/>
      <w:r>
        <w:rPr>
          <w:rFonts w:hint="cs"/>
          <w:rtl/>
        </w:rPr>
        <w:t xml:space="preserve"> והמתנים הפרטניים שלהם בידי גוף אחד, שינהל מו"מ מרוכז עם חברות הביטוח, להגדיל בכך את כחם של </w:t>
      </w:r>
      <w:r>
        <w:rPr>
          <w:rFonts w:hint="cs"/>
          <w:rtl/>
        </w:rPr>
        <w:lastRenderedPageBreak/>
        <w:t>המוסכים אל מול חברות הביטוח, ולאפשר להם להעלות את מחיריהם. לשון אחר: האיגוד מבקש לאפשר לו "לגבור" על כוחות השוק על ידי יצירת כוח מונופוליסטי (מלאכותי) של נותני השירות.</w:t>
      </w:r>
    </w:p>
    <w:p w14:paraId="01F94395" w14:textId="77777777" w:rsidR="000C7C0A" w:rsidRDefault="000C7C0A" w:rsidP="00B42807">
      <w:pPr>
        <w:pStyle w:val="Quote"/>
        <w:rPr>
          <w:rtl/>
        </w:rPr>
      </w:pPr>
      <w:r>
        <w:rPr>
          <w:rFonts w:hint="cs"/>
          <w:rtl/>
        </w:rPr>
        <w:t xml:space="preserve">. . . </w:t>
      </w:r>
    </w:p>
    <w:p w14:paraId="52A24A4C" w14:textId="77777777" w:rsidR="000C7C0A" w:rsidRPr="00DE1841" w:rsidRDefault="000C7C0A" w:rsidP="00B42807">
      <w:pPr>
        <w:pStyle w:val="Quote"/>
        <w:rPr>
          <w:rtl/>
        </w:rPr>
      </w:pPr>
      <w:r w:rsidRPr="00B42807">
        <w:rPr>
          <w:rFonts w:hint="cs"/>
          <w:rtl/>
        </w:rPr>
        <w:t>עיקרו של ההסדר המבוקש הוא אפוא בהפחתתה של התחרות</w:t>
      </w:r>
      <w:r>
        <w:rPr>
          <w:rFonts w:hint="cs"/>
          <w:rtl/>
        </w:rPr>
        <w:t xml:space="preserve"> הקיימת כיום בין המוסכים, ומכאן כי לא מתקיים התנאי השני (המצטבר) למתן פטור, ואינני מוסמך לפטור את ההסדר מן החובה לקבל את אישור בית הדין להגבלים עסקיים להסדר. </w:t>
      </w:r>
    </w:p>
    <w:p w14:paraId="7BC81F9B" w14:textId="1F76A62A" w:rsidR="00DE1841" w:rsidRPr="00295B72" w:rsidRDefault="00065D50" w:rsidP="00F05A12">
      <w:pPr>
        <w:spacing w:before="240" w:after="0" w:line="360" w:lineRule="auto"/>
        <w:jc w:val="both"/>
        <w:rPr>
          <w:rFonts w:cs="David"/>
          <w:sz w:val="24"/>
          <w:szCs w:val="24"/>
          <w:rtl/>
        </w:rPr>
      </w:pPr>
      <w:r>
        <w:rPr>
          <w:rFonts w:cs="David" w:hint="cs"/>
          <w:sz w:val="24"/>
          <w:szCs w:val="24"/>
          <w:rtl/>
        </w:rPr>
        <w:t>כך במקרה של כבילה העומדת לבדה</w:t>
      </w:r>
      <w:r w:rsidR="005606C7">
        <w:rPr>
          <w:rFonts w:cs="David" w:hint="cs"/>
          <w:sz w:val="24"/>
          <w:szCs w:val="24"/>
          <w:rtl/>
        </w:rPr>
        <w:t xml:space="preserve"> כך ש</w:t>
      </w:r>
      <w:r>
        <w:rPr>
          <w:rFonts w:cs="David" w:hint="cs"/>
          <w:sz w:val="24"/>
          <w:szCs w:val="24"/>
          <w:rtl/>
        </w:rPr>
        <w:t xml:space="preserve">אין להסדר </w:t>
      </w:r>
      <w:r>
        <w:rPr>
          <w:rFonts w:cs="David" w:hint="cs"/>
          <w:b/>
          <w:bCs/>
          <w:sz w:val="24"/>
          <w:szCs w:val="24"/>
          <w:rtl/>
        </w:rPr>
        <w:t>"עיקר"</w:t>
      </w:r>
      <w:r>
        <w:rPr>
          <w:rFonts w:cs="David" w:hint="cs"/>
          <w:sz w:val="24"/>
          <w:szCs w:val="24"/>
          <w:rtl/>
        </w:rPr>
        <w:t xml:space="preserve"> אחר מלבד הכבילה.</w:t>
      </w:r>
      <w:r>
        <w:rPr>
          <w:rStyle w:val="FootnoteReference"/>
          <w:rFonts w:cs="David"/>
          <w:sz w:val="24"/>
          <w:szCs w:val="24"/>
          <w:rtl/>
        </w:rPr>
        <w:footnoteReference w:id="36"/>
      </w:r>
      <w:r>
        <w:rPr>
          <w:rFonts w:cs="David" w:hint="cs"/>
          <w:sz w:val="24"/>
          <w:szCs w:val="24"/>
          <w:rtl/>
        </w:rPr>
        <w:t xml:space="preserve"> </w:t>
      </w:r>
      <w:r w:rsidR="00735F0F">
        <w:rPr>
          <w:rFonts w:cs="David" w:hint="cs"/>
          <w:sz w:val="24"/>
          <w:szCs w:val="24"/>
          <w:rtl/>
        </w:rPr>
        <w:t xml:space="preserve">הוא הדין אף </w:t>
      </w:r>
      <w:r w:rsidR="0039133C">
        <w:rPr>
          <w:rFonts w:cs="David" w:hint="cs"/>
          <w:sz w:val="24"/>
          <w:szCs w:val="24"/>
          <w:rtl/>
        </w:rPr>
        <w:t>אם הצדדים להסדר טוענים שתצמח תועלת כלשהי מהפחתת התחרות או מניעתה</w:t>
      </w:r>
      <w:r w:rsidR="002B024E">
        <w:rPr>
          <w:rFonts w:cs="David" w:hint="cs"/>
          <w:sz w:val="24"/>
          <w:szCs w:val="24"/>
          <w:rtl/>
        </w:rPr>
        <w:t xml:space="preserve">; </w:t>
      </w:r>
      <w:r w:rsidR="0000002D">
        <w:rPr>
          <w:rFonts w:cs="David" w:hint="cs"/>
          <w:sz w:val="24"/>
          <w:szCs w:val="24"/>
          <w:rtl/>
        </w:rPr>
        <w:t xml:space="preserve">זאת שכן, </w:t>
      </w:r>
      <w:r w:rsidR="00335D15">
        <w:rPr>
          <w:rFonts w:cs="David" w:hint="cs"/>
          <w:sz w:val="24"/>
          <w:szCs w:val="24"/>
          <w:rtl/>
        </w:rPr>
        <w:t xml:space="preserve">בהיעדר </w:t>
      </w:r>
      <w:r w:rsidR="00335D15">
        <w:rPr>
          <w:rFonts w:cs="David" w:hint="cs"/>
          <w:b/>
          <w:bCs/>
          <w:sz w:val="24"/>
          <w:szCs w:val="24"/>
          <w:rtl/>
        </w:rPr>
        <w:t>"עסקה לגיטימית"</w:t>
      </w:r>
      <w:r w:rsidR="00335D15">
        <w:rPr>
          <w:rFonts w:cs="David" w:hint="cs"/>
          <w:sz w:val="24"/>
          <w:szCs w:val="24"/>
          <w:rtl/>
        </w:rPr>
        <w:t>,</w:t>
      </w:r>
      <w:r w:rsidR="002B024E">
        <w:rPr>
          <w:rFonts w:cs="David" w:hint="cs"/>
          <w:sz w:val="24"/>
          <w:szCs w:val="24"/>
          <w:rtl/>
        </w:rPr>
        <w:t xml:space="preserve"> </w:t>
      </w:r>
      <w:r w:rsidR="002B024E">
        <w:rPr>
          <w:rFonts w:cs="David" w:hint="cs"/>
          <w:b/>
          <w:bCs/>
          <w:sz w:val="24"/>
          <w:szCs w:val="24"/>
          <w:rtl/>
        </w:rPr>
        <w:t>"עיקרו של ההסדר"</w:t>
      </w:r>
      <w:r w:rsidR="002B024E">
        <w:rPr>
          <w:rFonts w:cs="David" w:hint="cs"/>
          <w:sz w:val="24"/>
          <w:szCs w:val="24"/>
          <w:rtl/>
        </w:rPr>
        <w:t xml:space="preserve"> הוא בהפחתת התחרות או במניעתה</w:t>
      </w:r>
      <w:r w:rsidR="00623973">
        <w:rPr>
          <w:rFonts w:cs="David" w:hint="cs"/>
          <w:sz w:val="24"/>
          <w:szCs w:val="24"/>
          <w:rtl/>
        </w:rPr>
        <w:t>.</w:t>
      </w:r>
      <w:bookmarkStart w:id="22" w:name="_Ref508034959"/>
      <w:r w:rsidR="001412F7">
        <w:rPr>
          <w:rStyle w:val="FootnoteReference"/>
          <w:rFonts w:cs="David"/>
          <w:sz w:val="24"/>
          <w:szCs w:val="24"/>
          <w:rtl/>
        </w:rPr>
        <w:footnoteReference w:id="37"/>
      </w:r>
      <w:bookmarkEnd w:id="22"/>
      <w:r w:rsidR="000F7517">
        <w:rPr>
          <w:rFonts w:cs="David" w:hint="cs"/>
          <w:sz w:val="24"/>
          <w:szCs w:val="24"/>
          <w:rtl/>
        </w:rPr>
        <w:t xml:space="preserve"> </w:t>
      </w:r>
      <w:r w:rsidR="008F7C8F">
        <w:rPr>
          <w:rFonts w:cs="David" w:hint="cs"/>
          <w:sz w:val="24"/>
          <w:szCs w:val="24"/>
          <w:rtl/>
        </w:rPr>
        <w:t xml:space="preserve">כך, </w:t>
      </w:r>
      <w:r w:rsidR="00AE23C1">
        <w:rPr>
          <w:rFonts w:cs="David" w:hint="cs"/>
          <w:sz w:val="24"/>
          <w:szCs w:val="24"/>
          <w:rtl/>
        </w:rPr>
        <w:t xml:space="preserve">המטרה </w:t>
      </w:r>
      <w:r w:rsidR="00AE23C1">
        <w:rPr>
          <w:rFonts w:cs="David" w:hint="cs"/>
          <w:b/>
          <w:bCs/>
          <w:sz w:val="24"/>
          <w:szCs w:val="24"/>
          <w:rtl/>
        </w:rPr>
        <w:t>"למנוע את 'שחיקת השוק'"</w:t>
      </w:r>
      <w:r w:rsidR="00AE23C1">
        <w:rPr>
          <w:rFonts w:cs="David" w:hint="cs"/>
          <w:sz w:val="24"/>
          <w:szCs w:val="24"/>
          <w:rtl/>
        </w:rPr>
        <w:t xml:space="preserve"> אינה </w:t>
      </w:r>
      <w:r w:rsidR="007F25A8">
        <w:rPr>
          <w:rFonts w:cs="David" w:hint="cs"/>
          <w:sz w:val="24"/>
          <w:szCs w:val="24"/>
          <w:rtl/>
        </w:rPr>
        <w:t>יכולה לה</w:t>
      </w:r>
      <w:r w:rsidR="00AE23C1">
        <w:rPr>
          <w:rFonts w:cs="David" w:hint="cs"/>
          <w:sz w:val="24"/>
          <w:szCs w:val="24"/>
          <w:rtl/>
        </w:rPr>
        <w:t>צדיק תיאום מכרזים בין מתחרים;</w:t>
      </w:r>
      <w:r w:rsidR="00AE23C1">
        <w:rPr>
          <w:rStyle w:val="FootnoteReference"/>
          <w:rFonts w:cs="David"/>
          <w:sz w:val="24"/>
          <w:szCs w:val="24"/>
          <w:rtl/>
        </w:rPr>
        <w:footnoteReference w:id="38"/>
      </w:r>
      <w:r w:rsidR="004A43F2">
        <w:rPr>
          <w:rFonts w:cs="David" w:hint="cs"/>
          <w:sz w:val="24"/>
          <w:szCs w:val="24"/>
          <w:rtl/>
        </w:rPr>
        <w:t xml:space="preserve"> מניע </w:t>
      </w:r>
      <w:r w:rsidR="004A43F2">
        <w:rPr>
          <w:rFonts w:cs="David" w:hint="cs"/>
          <w:b/>
          <w:bCs/>
          <w:sz w:val="24"/>
          <w:szCs w:val="24"/>
          <w:rtl/>
        </w:rPr>
        <w:t>"הישרדותי"</w:t>
      </w:r>
      <w:r w:rsidR="004A43F2">
        <w:rPr>
          <w:rFonts w:cs="David" w:hint="cs"/>
          <w:sz w:val="24"/>
          <w:szCs w:val="24"/>
          <w:rtl/>
        </w:rPr>
        <w:t xml:space="preserve"> על רקע טענה של מחירי הפסד</w:t>
      </w:r>
      <w:r w:rsidR="00CE0F5D">
        <w:rPr>
          <w:rFonts w:cs="David" w:hint="cs"/>
          <w:sz w:val="24"/>
          <w:szCs w:val="24"/>
          <w:rtl/>
        </w:rPr>
        <w:t xml:space="preserve"> אינו מצדיק תיאום מחירים או חלוקת שוק בין מתחרים</w:t>
      </w:r>
      <w:r w:rsidR="004A43F2">
        <w:rPr>
          <w:rFonts w:cs="David" w:hint="cs"/>
          <w:sz w:val="24"/>
          <w:szCs w:val="24"/>
          <w:rtl/>
        </w:rPr>
        <w:t>;</w:t>
      </w:r>
      <w:r w:rsidR="004A43F2">
        <w:rPr>
          <w:rStyle w:val="FootnoteReference"/>
          <w:rFonts w:cs="David"/>
          <w:sz w:val="24"/>
          <w:szCs w:val="24"/>
          <w:rtl/>
        </w:rPr>
        <w:footnoteReference w:id="39"/>
      </w:r>
      <w:r w:rsidR="00AE23C1">
        <w:rPr>
          <w:rFonts w:cs="David" w:hint="cs"/>
          <w:sz w:val="24"/>
          <w:szCs w:val="24"/>
          <w:rtl/>
        </w:rPr>
        <w:t xml:space="preserve"> </w:t>
      </w:r>
      <w:r w:rsidR="006B67D9">
        <w:rPr>
          <w:rFonts w:cs="David" w:hint="cs"/>
          <w:sz w:val="24"/>
          <w:szCs w:val="24"/>
          <w:rtl/>
        </w:rPr>
        <w:t xml:space="preserve">הרצון להבטיח </w:t>
      </w:r>
      <w:r w:rsidR="006B67D9">
        <w:rPr>
          <w:rFonts w:cs="David" w:hint="cs"/>
          <w:b/>
          <w:bCs/>
          <w:sz w:val="24"/>
          <w:szCs w:val="24"/>
          <w:rtl/>
        </w:rPr>
        <w:t>"יציבות"</w:t>
      </w:r>
      <w:r w:rsidR="006B67D9">
        <w:rPr>
          <w:rFonts w:cs="David" w:hint="cs"/>
          <w:sz w:val="24"/>
          <w:szCs w:val="24"/>
          <w:rtl/>
        </w:rPr>
        <w:t xml:space="preserve"> לנוכח הפסדי ענק אינו מצדיק תיאום מחירים בין מתחרים;</w:t>
      </w:r>
      <w:r w:rsidR="006B67D9">
        <w:rPr>
          <w:rStyle w:val="FootnoteReference"/>
          <w:rFonts w:cs="David"/>
          <w:sz w:val="24"/>
          <w:szCs w:val="24"/>
          <w:rtl/>
        </w:rPr>
        <w:footnoteReference w:id="40"/>
      </w:r>
      <w:r w:rsidR="006B67D9">
        <w:rPr>
          <w:rFonts w:cs="David" w:hint="cs"/>
          <w:sz w:val="24"/>
          <w:szCs w:val="24"/>
          <w:rtl/>
        </w:rPr>
        <w:t xml:space="preserve"> </w:t>
      </w:r>
      <w:r w:rsidR="00AE23C1">
        <w:rPr>
          <w:rFonts w:cs="David" w:hint="cs"/>
          <w:sz w:val="24"/>
          <w:szCs w:val="24"/>
          <w:rtl/>
        </w:rPr>
        <w:t xml:space="preserve">המטרה לעשות </w:t>
      </w:r>
      <w:r w:rsidR="00AE23C1">
        <w:rPr>
          <w:rFonts w:cs="David" w:hint="cs"/>
          <w:b/>
          <w:bCs/>
          <w:sz w:val="24"/>
          <w:szCs w:val="24"/>
          <w:rtl/>
        </w:rPr>
        <w:t xml:space="preserve">"רציונליזציה" </w:t>
      </w:r>
      <w:r w:rsidR="007F25A8">
        <w:rPr>
          <w:rFonts w:cs="David" w:hint="cs"/>
          <w:sz w:val="24"/>
          <w:szCs w:val="24"/>
          <w:rtl/>
        </w:rPr>
        <w:t xml:space="preserve">בענף </w:t>
      </w:r>
      <w:r w:rsidR="00AE23C1">
        <w:rPr>
          <w:rFonts w:cs="David" w:hint="cs"/>
          <w:sz w:val="24"/>
          <w:szCs w:val="24"/>
          <w:rtl/>
        </w:rPr>
        <w:t xml:space="preserve">אינה </w:t>
      </w:r>
      <w:r w:rsidR="007F25A8">
        <w:rPr>
          <w:rFonts w:cs="David" w:hint="cs"/>
          <w:sz w:val="24"/>
          <w:szCs w:val="24"/>
          <w:rtl/>
        </w:rPr>
        <w:t>יכולה לה</w:t>
      </w:r>
      <w:r w:rsidR="00AE23C1">
        <w:rPr>
          <w:rFonts w:cs="David" w:hint="cs"/>
          <w:sz w:val="24"/>
          <w:szCs w:val="24"/>
          <w:rtl/>
        </w:rPr>
        <w:t>צדיק סגירה מתואמת של חלק מהמתחרים תמורת מתן פיצוי על-ידי המתחרים הנותרים;</w:t>
      </w:r>
      <w:r w:rsidR="00FB4A61">
        <w:rPr>
          <w:rStyle w:val="FootnoteReference"/>
          <w:rFonts w:cs="David"/>
          <w:sz w:val="24"/>
          <w:szCs w:val="24"/>
          <w:rtl/>
        </w:rPr>
        <w:footnoteReference w:id="41"/>
      </w:r>
      <w:r w:rsidR="007F25A8">
        <w:rPr>
          <w:rFonts w:cs="David" w:hint="cs"/>
          <w:sz w:val="24"/>
          <w:szCs w:val="24"/>
          <w:rtl/>
        </w:rPr>
        <w:t xml:space="preserve"> המטרה למנוע תחרות פרועה אינה יכולה להצדיק תיאום בין מתחרים</w:t>
      </w:r>
      <w:r w:rsidR="00BC11E2">
        <w:rPr>
          <w:rFonts w:cs="David" w:hint="cs"/>
          <w:sz w:val="24"/>
          <w:szCs w:val="24"/>
          <w:rtl/>
        </w:rPr>
        <w:t>.</w:t>
      </w:r>
      <w:r w:rsidR="00BC11E2">
        <w:rPr>
          <w:rStyle w:val="FootnoteReference"/>
          <w:rFonts w:cs="David"/>
          <w:sz w:val="24"/>
          <w:szCs w:val="24"/>
          <w:rtl/>
        </w:rPr>
        <w:footnoteReference w:id="42"/>
      </w:r>
      <w:r w:rsidR="007F25A8">
        <w:rPr>
          <w:rFonts w:cs="David" w:hint="cs"/>
          <w:sz w:val="24"/>
          <w:szCs w:val="24"/>
          <w:rtl/>
        </w:rPr>
        <w:t xml:space="preserve"> </w:t>
      </w:r>
      <w:r w:rsidR="00D10304">
        <w:rPr>
          <w:rFonts w:cs="David" w:hint="cs"/>
          <w:sz w:val="24"/>
          <w:szCs w:val="24"/>
          <w:rtl/>
        </w:rPr>
        <w:t>ב</w:t>
      </w:r>
      <w:r w:rsidR="00574BC1">
        <w:rPr>
          <w:rFonts w:cs="David" w:hint="cs"/>
          <w:sz w:val="24"/>
          <w:szCs w:val="24"/>
          <w:rtl/>
        </w:rPr>
        <w:t>מקרים כאלה</w:t>
      </w:r>
      <w:r w:rsidR="002828FD">
        <w:rPr>
          <w:rFonts w:cs="David" w:hint="cs"/>
          <w:sz w:val="24"/>
          <w:szCs w:val="24"/>
          <w:rtl/>
        </w:rPr>
        <w:t xml:space="preserve"> אין </w:t>
      </w:r>
      <w:r w:rsidR="002828FD">
        <w:rPr>
          <w:rFonts w:cs="David" w:hint="cs"/>
          <w:b/>
          <w:bCs/>
          <w:sz w:val="24"/>
          <w:szCs w:val="24"/>
          <w:rtl/>
        </w:rPr>
        <w:t>"עסקה לגיטימית"</w:t>
      </w:r>
      <w:r w:rsidR="002828FD">
        <w:rPr>
          <w:rFonts w:cs="David" w:hint="cs"/>
          <w:sz w:val="24"/>
          <w:szCs w:val="24"/>
          <w:rtl/>
        </w:rPr>
        <w:t xml:space="preserve"> של שילו</w:t>
      </w:r>
      <w:r w:rsidR="00B7655D">
        <w:rPr>
          <w:rFonts w:cs="David" w:hint="cs"/>
          <w:sz w:val="24"/>
          <w:szCs w:val="24"/>
          <w:rtl/>
        </w:rPr>
        <w:t xml:space="preserve">ב כוחות עסקיים לשם ייעול, הגדלת תפוקה, שיפור המוצר </w:t>
      </w:r>
      <w:proofErr w:type="spellStart"/>
      <w:r w:rsidR="00B7655D">
        <w:rPr>
          <w:rFonts w:cs="David" w:hint="cs"/>
          <w:sz w:val="24"/>
          <w:szCs w:val="24"/>
          <w:rtl/>
        </w:rPr>
        <w:t>וכו</w:t>
      </w:r>
      <w:proofErr w:type="spellEnd"/>
      <w:r w:rsidR="00B7655D">
        <w:rPr>
          <w:rFonts w:cs="David" w:hint="cs"/>
          <w:sz w:val="24"/>
          <w:szCs w:val="24"/>
          <w:rtl/>
        </w:rPr>
        <w:t>', ולכן</w:t>
      </w:r>
      <w:r w:rsidR="00574BC1">
        <w:rPr>
          <w:rFonts w:cs="David" w:hint="cs"/>
          <w:sz w:val="24"/>
          <w:szCs w:val="24"/>
          <w:rtl/>
        </w:rPr>
        <w:t xml:space="preserve"> </w:t>
      </w:r>
      <w:r w:rsidR="00307D6A">
        <w:rPr>
          <w:rFonts w:cs="David" w:hint="cs"/>
          <w:sz w:val="24"/>
          <w:szCs w:val="24"/>
          <w:rtl/>
        </w:rPr>
        <w:t xml:space="preserve">לא מתקיים הרישא של </w:t>
      </w:r>
      <w:r w:rsidR="00D10304">
        <w:rPr>
          <w:rFonts w:cs="David" w:hint="cs"/>
          <w:sz w:val="24"/>
          <w:szCs w:val="24"/>
          <w:rtl/>
        </w:rPr>
        <w:t>סע' 14(א)(2)</w:t>
      </w:r>
      <w:r w:rsidR="00307D6A">
        <w:rPr>
          <w:rFonts w:cs="David" w:hint="cs"/>
          <w:sz w:val="24"/>
          <w:szCs w:val="24"/>
          <w:rtl/>
        </w:rPr>
        <w:t xml:space="preserve">, דהיינו </w:t>
      </w:r>
      <w:r w:rsidR="00307D6A">
        <w:rPr>
          <w:rFonts w:cs="David" w:hint="cs"/>
          <w:b/>
          <w:bCs/>
          <w:sz w:val="24"/>
          <w:szCs w:val="24"/>
          <w:rtl/>
        </w:rPr>
        <w:t>"עיקרו של ההסדר הכובל אינו בהפחתת התחרות או במניעתה"</w:t>
      </w:r>
      <w:r w:rsidR="0000002D">
        <w:rPr>
          <w:rFonts w:cs="David" w:hint="cs"/>
          <w:sz w:val="24"/>
          <w:szCs w:val="24"/>
          <w:rtl/>
        </w:rPr>
        <w:t>. נהפוך הוא</w:t>
      </w:r>
      <w:r w:rsidR="00D10304">
        <w:rPr>
          <w:rFonts w:cs="David" w:hint="cs"/>
          <w:sz w:val="24"/>
          <w:szCs w:val="24"/>
          <w:rtl/>
        </w:rPr>
        <w:t xml:space="preserve">, </w:t>
      </w:r>
      <w:r w:rsidR="00B7655D">
        <w:rPr>
          <w:rFonts w:cs="David" w:hint="cs"/>
          <w:sz w:val="24"/>
          <w:szCs w:val="24"/>
          <w:rtl/>
        </w:rPr>
        <w:t xml:space="preserve">בהיעדר </w:t>
      </w:r>
      <w:r w:rsidR="00B7655D">
        <w:rPr>
          <w:rFonts w:cs="David" w:hint="cs"/>
          <w:b/>
          <w:bCs/>
          <w:sz w:val="24"/>
          <w:szCs w:val="24"/>
          <w:rtl/>
        </w:rPr>
        <w:t>"עסקה לגיטימית"</w:t>
      </w:r>
      <w:r w:rsidR="00B7655D">
        <w:rPr>
          <w:rFonts w:cs="David" w:hint="cs"/>
          <w:sz w:val="24"/>
          <w:szCs w:val="24"/>
          <w:rtl/>
        </w:rPr>
        <w:t xml:space="preserve"> כאמור, </w:t>
      </w:r>
      <w:r w:rsidR="00307D6A">
        <w:rPr>
          <w:rFonts w:cs="David" w:hint="cs"/>
          <w:sz w:val="24"/>
          <w:szCs w:val="24"/>
          <w:rtl/>
        </w:rPr>
        <w:t xml:space="preserve"> עיקרו של ההסדר הוא אכן </w:t>
      </w:r>
      <w:r w:rsidR="00307D6A">
        <w:rPr>
          <w:rFonts w:cs="David" w:hint="cs"/>
          <w:b/>
          <w:bCs/>
          <w:sz w:val="24"/>
          <w:szCs w:val="24"/>
          <w:rtl/>
        </w:rPr>
        <w:t>"בהפחתת התחרות או במניעתה"</w:t>
      </w:r>
      <w:r w:rsidR="00307D6A">
        <w:rPr>
          <w:rFonts w:cs="David" w:hint="cs"/>
          <w:sz w:val="24"/>
          <w:szCs w:val="24"/>
          <w:rtl/>
        </w:rPr>
        <w:t xml:space="preserve">, גם אם נטען </w:t>
      </w:r>
      <w:r w:rsidR="00574BC1">
        <w:rPr>
          <w:rFonts w:cs="David" w:hint="cs"/>
          <w:sz w:val="24"/>
          <w:szCs w:val="24"/>
          <w:rtl/>
        </w:rPr>
        <w:t xml:space="preserve">על-ידי הצדדים </w:t>
      </w:r>
      <w:r w:rsidR="00307D6A">
        <w:rPr>
          <w:rFonts w:cs="David" w:hint="cs"/>
          <w:sz w:val="24"/>
          <w:szCs w:val="24"/>
          <w:rtl/>
        </w:rPr>
        <w:t xml:space="preserve">שהפחתת התחרות או מניעתה תוביל לתוצאה רצויה כלשהי. </w:t>
      </w:r>
      <w:r w:rsidR="00295B72">
        <w:rPr>
          <w:rFonts w:cs="David" w:hint="cs"/>
          <w:sz w:val="24"/>
          <w:szCs w:val="24"/>
          <w:rtl/>
        </w:rPr>
        <w:t xml:space="preserve"> </w:t>
      </w:r>
    </w:p>
    <w:p w14:paraId="477177E4" w14:textId="097A706A" w:rsidR="009B2A08" w:rsidRDefault="00131061" w:rsidP="009D78E7">
      <w:pPr>
        <w:pStyle w:val="Heading2"/>
        <w:rPr>
          <w:rtl/>
        </w:rPr>
      </w:pPr>
      <w:r>
        <w:rPr>
          <w:rFonts w:hint="cs"/>
          <w:rtl/>
        </w:rPr>
        <w:t xml:space="preserve">סע' 14(א)(ב) סיפא </w:t>
      </w:r>
      <w:r>
        <w:rPr>
          <w:rtl/>
        </w:rPr>
        <w:t>–</w:t>
      </w:r>
      <w:r>
        <w:rPr>
          <w:rFonts w:hint="cs"/>
          <w:rtl/>
        </w:rPr>
        <w:t xml:space="preserve"> </w:t>
      </w:r>
      <w:r w:rsidR="002D71F3">
        <w:rPr>
          <w:rFonts w:hint="cs"/>
          <w:rtl/>
        </w:rPr>
        <w:t xml:space="preserve">הדרישה שכל כבילה שבהסדר תהיה </w:t>
      </w:r>
      <w:r>
        <w:rPr>
          <w:rFonts w:hint="cs"/>
          <w:rtl/>
        </w:rPr>
        <w:t>נחוצה למימוש עיקרו</w:t>
      </w:r>
    </w:p>
    <w:p w14:paraId="671145F6" w14:textId="4B7F47E1" w:rsidR="00965FA1" w:rsidRPr="001221EF" w:rsidRDefault="00734DA1" w:rsidP="00B36FF0">
      <w:pPr>
        <w:spacing w:before="240" w:after="0" w:line="360" w:lineRule="auto"/>
        <w:jc w:val="both"/>
        <w:rPr>
          <w:rFonts w:cs="David"/>
          <w:sz w:val="24"/>
          <w:szCs w:val="24"/>
          <w:rtl/>
        </w:rPr>
      </w:pPr>
      <w:r>
        <w:rPr>
          <w:rFonts w:cs="David" w:hint="cs"/>
          <w:sz w:val="24"/>
          <w:szCs w:val="24"/>
          <w:rtl/>
        </w:rPr>
        <w:t xml:space="preserve">גם כאשר </w:t>
      </w:r>
      <w:r w:rsidR="001221EF">
        <w:rPr>
          <w:rFonts w:cs="David" w:hint="cs"/>
          <w:sz w:val="24"/>
          <w:szCs w:val="24"/>
          <w:rtl/>
        </w:rPr>
        <w:t xml:space="preserve">עיקרו של ההסדר הוא עסקה לגיטימית של שילוב כוחות עסקיים לשם ייעול, הגדלת תפוקה, שיפור וכדומה </w:t>
      </w:r>
      <w:r w:rsidR="001221EF">
        <w:rPr>
          <w:rFonts w:cs="David"/>
          <w:sz w:val="24"/>
          <w:szCs w:val="24"/>
          <w:rtl/>
        </w:rPr>
        <w:t>–</w:t>
      </w:r>
      <w:r w:rsidR="001221EF">
        <w:rPr>
          <w:rFonts w:cs="David" w:hint="cs"/>
          <w:sz w:val="24"/>
          <w:szCs w:val="24"/>
          <w:rtl/>
        </w:rPr>
        <w:t xml:space="preserve"> </w:t>
      </w:r>
      <w:r>
        <w:rPr>
          <w:rFonts w:cs="David" w:hint="cs"/>
          <w:sz w:val="24"/>
          <w:szCs w:val="24"/>
          <w:rtl/>
        </w:rPr>
        <w:t>דהיינו, גם כאשר מתקיים הרישא של סע' 14(א)(2)</w:t>
      </w:r>
      <w:r w:rsidR="0000002D">
        <w:rPr>
          <w:rFonts w:cs="David" w:hint="cs"/>
          <w:sz w:val="24"/>
          <w:szCs w:val="24"/>
          <w:rtl/>
        </w:rPr>
        <w:t>, כך ש</w:t>
      </w:r>
      <w:r>
        <w:rPr>
          <w:rFonts w:cs="David" w:hint="cs"/>
          <w:b/>
          <w:bCs/>
          <w:sz w:val="24"/>
          <w:szCs w:val="24"/>
          <w:rtl/>
        </w:rPr>
        <w:t>"עיקרו של ההסדר הכובל אינו בהפחתת התחרות או במניעתה"</w:t>
      </w:r>
      <w:r>
        <w:rPr>
          <w:rFonts w:cs="David" w:hint="cs"/>
          <w:sz w:val="24"/>
          <w:szCs w:val="24"/>
          <w:rtl/>
        </w:rPr>
        <w:t xml:space="preserve"> </w:t>
      </w:r>
      <w:r>
        <w:rPr>
          <w:rFonts w:cs="David"/>
          <w:sz w:val="24"/>
          <w:szCs w:val="24"/>
          <w:rtl/>
        </w:rPr>
        <w:t>–</w:t>
      </w:r>
      <w:r>
        <w:rPr>
          <w:rFonts w:cs="David" w:hint="cs"/>
          <w:sz w:val="24"/>
          <w:szCs w:val="24"/>
          <w:rtl/>
        </w:rPr>
        <w:t xml:space="preserve"> לא די בכך בלבד כדי </w:t>
      </w:r>
      <w:r w:rsidR="001221EF">
        <w:rPr>
          <w:rFonts w:cs="David" w:hint="cs"/>
          <w:sz w:val="24"/>
          <w:szCs w:val="24"/>
          <w:rtl/>
        </w:rPr>
        <w:t xml:space="preserve">לעמוד בדרישות סע' </w:t>
      </w:r>
      <w:r w:rsidR="001221EF">
        <w:rPr>
          <w:rFonts w:cs="David" w:hint="cs"/>
          <w:sz w:val="24"/>
          <w:szCs w:val="24"/>
          <w:rtl/>
        </w:rPr>
        <w:lastRenderedPageBreak/>
        <w:t xml:space="preserve">14(א)(2). </w:t>
      </w:r>
      <w:r>
        <w:rPr>
          <w:rFonts w:cs="David" w:hint="cs"/>
          <w:sz w:val="24"/>
          <w:szCs w:val="24"/>
          <w:rtl/>
        </w:rPr>
        <w:t xml:space="preserve">על-מנת </w:t>
      </w:r>
      <w:r w:rsidR="001221EF">
        <w:rPr>
          <w:rFonts w:cs="David" w:hint="cs"/>
          <w:sz w:val="24"/>
          <w:szCs w:val="24"/>
          <w:rtl/>
        </w:rPr>
        <w:t xml:space="preserve">לעמוד בדרישות סע' 14(א)(2), חובה לעמוד גם בדרישת הסיפא לסעיף: </w:t>
      </w:r>
      <w:r w:rsidR="001221EF">
        <w:rPr>
          <w:rFonts w:cs="David" w:hint="cs"/>
          <w:b/>
          <w:bCs/>
          <w:sz w:val="24"/>
          <w:szCs w:val="24"/>
          <w:rtl/>
        </w:rPr>
        <w:t xml:space="preserve">"ואין בו </w:t>
      </w:r>
      <w:r w:rsidR="0000002D" w:rsidRPr="00B12DAA">
        <w:rPr>
          <w:rFonts w:cs="David"/>
          <w:sz w:val="24"/>
          <w:szCs w:val="24"/>
          <w:rtl/>
        </w:rPr>
        <w:t>[</w:t>
      </w:r>
      <w:r w:rsidR="0000002D" w:rsidRPr="00B12DAA">
        <w:rPr>
          <w:rFonts w:cs="David" w:hint="cs"/>
          <w:sz w:val="24"/>
          <w:szCs w:val="24"/>
          <w:rtl/>
        </w:rPr>
        <w:t>בהסדר</w:t>
      </w:r>
      <w:r w:rsidR="0000002D" w:rsidRPr="00B12DAA">
        <w:rPr>
          <w:rFonts w:cs="David"/>
          <w:sz w:val="24"/>
          <w:szCs w:val="24"/>
          <w:rtl/>
        </w:rPr>
        <w:t>]</w:t>
      </w:r>
      <w:r w:rsidR="0000002D">
        <w:rPr>
          <w:rFonts w:cs="David" w:hint="cs"/>
          <w:b/>
          <w:bCs/>
          <w:sz w:val="24"/>
          <w:szCs w:val="24"/>
          <w:rtl/>
        </w:rPr>
        <w:t xml:space="preserve"> </w:t>
      </w:r>
      <w:r w:rsidR="001221EF">
        <w:rPr>
          <w:rFonts w:cs="David" w:hint="cs"/>
          <w:b/>
          <w:bCs/>
          <w:sz w:val="24"/>
          <w:szCs w:val="24"/>
          <w:rtl/>
        </w:rPr>
        <w:t>כבילות שאינן נחוצות למימוש עיקרו"</w:t>
      </w:r>
      <w:r w:rsidR="001221EF">
        <w:rPr>
          <w:rFonts w:cs="David" w:hint="cs"/>
          <w:sz w:val="24"/>
          <w:szCs w:val="24"/>
          <w:rtl/>
        </w:rPr>
        <w:t>.  דרישה זו כוללת</w:t>
      </w:r>
      <w:r w:rsidR="00DD3434">
        <w:rPr>
          <w:rFonts w:cs="David" w:hint="cs"/>
          <w:sz w:val="24"/>
          <w:szCs w:val="24"/>
          <w:rtl/>
        </w:rPr>
        <w:t xml:space="preserve"> בחובה שלושה רכיבים.</w:t>
      </w:r>
      <w:r w:rsidR="00B12DAA">
        <w:rPr>
          <w:rFonts w:cs="David" w:hint="cs"/>
          <w:sz w:val="24"/>
          <w:szCs w:val="24"/>
          <w:rtl/>
        </w:rPr>
        <w:t xml:space="preserve"> </w:t>
      </w:r>
      <w:r w:rsidR="00DD3434">
        <w:rPr>
          <w:rFonts w:cs="David" w:hint="cs"/>
          <w:sz w:val="24"/>
          <w:szCs w:val="24"/>
          <w:rtl/>
        </w:rPr>
        <w:t xml:space="preserve">ראשית, </w:t>
      </w:r>
      <w:r w:rsidR="001221EF">
        <w:rPr>
          <w:rFonts w:cs="David" w:hint="cs"/>
          <w:sz w:val="24"/>
          <w:szCs w:val="24"/>
          <w:rtl/>
        </w:rPr>
        <w:t xml:space="preserve">שכל </w:t>
      </w:r>
      <w:r w:rsidR="00723689">
        <w:rPr>
          <w:rFonts w:cs="David" w:hint="cs"/>
          <w:sz w:val="24"/>
          <w:szCs w:val="24"/>
          <w:rtl/>
        </w:rPr>
        <w:t>ה</w:t>
      </w:r>
      <w:r w:rsidR="001221EF">
        <w:rPr>
          <w:rFonts w:cs="David" w:hint="cs"/>
          <w:sz w:val="24"/>
          <w:szCs w:val="24"/>
          <w:rtl/>
        </w:rPr>
        <w:t>כביל</w:t>
      </w:r>
      <w:r w:rsidR="00723689">
        <w:rPr>
          <w:rFonts w:cs="David" w:hint="cs"/>
          <w:sz w:val="24"/>
          <w:szCs w:val="24"/>
          <w:rtl/>
        </w:rPr>
        <w:t>ות</w:t>
      </w:r>
      <w:r w:rsidR="001221EF">
        <w:rPr>
          <w:rFonts w:cs="David" w:hint="cs"/>
          <w:sz w:val="24"/>
          <w:szCs w:val="24"/>
          <w:rtl/>
        </w:rPr>
        <w:t xml:space="preserve"> שבהסדר </w:t>
      </w:r>
      <w:r w:rsidR="00723689">
        <w:rPr>
          <w:rFonts w:cs="David" w:hint="cs"/>
          <w:sz w:val="24"/>
          <w:szCs w:val="24"/>
          <w:rtl/>
        </w:rPr>
        <w:t>יהיו</w:t>
      </w:r>
      <w:r w:rsidR="001221EF">
        <w:rPr>
          <w:rFonts w:cs="David" w:hint="cs"/>
          <w:sz w:val="24"/>
          <w:szCs w:val="24"/>
          <w:rtl/>
        </w:rPr>
        <w:t xml:space="preserve"> </w:t>
      </w:r>
      <w:r w:rsidR="001221EF">
        <w:rPr>
          <w:rFonts w:cs="David" w:hint="cs"/>
          <w:b/>
          <w:bCs/>
          <w:sz w:val="24"/>
          <w:szCs w:val="24"/>
          <w:rtl/>
        </w:rPr>
        <w:t>"</w:t>
      </w:r>
      <w:r w:rsidR="001221EF" w:rsidRPr="00B0670B">
        <w:rPr>
          <w:rFonts w:cs="David" w:hint="cs"/>
          <w:b/>
          <w:bCs/>
          <w:sz w:val="24"/>
          <w:szCs w:val="24"/>
          <w:u w:val="single"/>
          <w:rtl/>
        </w:rPr>
        <w:t>נחוצ</w:t>
      </w:r>
      <w:r w:rsidR="00723689" w:rsidRPr="00B0670B">
        <w:rPr>
          <w:rFonts w:cs="David" w:hint="cs"/>
          <w:b/>
          <w:bCs/>
          <w:sz w:val="24"/>
          <w:szCs w:val="24"/>
          <w:u w:val="single"/>
          <w:rtl/>
        </w:rPr>
        <w:t>ות</w:t>
      </w:r>
      <w:r w:rsidR="00E72179">
        <w:rPr>
          <w:rFonts w:cs="David" w:hint="cs"/>
          <w:b/>
          <w:bCs/>
          <w:sz w:val="24"/>
          <w:szCs w:val="24"/>
          <w:rtl/>
        </w:rPr>
        <w:t xml:space="preserve"> למימוש עיקרו</w:t>
      </w:r>
      <w:r w:rsidR="001221EF">
        <w:rPr>
          <w:rFonts w:cs="David" w:hint="cs"/>
          <w:b/>
          <w:bCs/>
          <w:sz w:val="24"/>
          <w:szCs w:val="24"/>
          <w:rtl/>
        </w:rPr>
        <w:t>"</w:t>
      </w:r>
      <w:r w:rsidR="00DD3434">
        <w:rPr>
          <w:rFonts w:cs="David" w:hint="cs"/>
          <w:sz w:val="24"/>
          <w:szCs w:val="24"/>
          <w:rtl/>
        </w:rPr>
        <w:t>; שנית</w:t>
      </w:r>
      <w:r w:rsidR="001221EF">
        <w:rPr>
          <w:rFonts w:cs="David" w:hint="cs"/>
          <w:sz w:val="24"/>
          <w:szCs w:val="24"/>
          <w:rtl/>
        </w:rPr>
        <w:t>, שהכביל</w:t>
      </w:r>
      <w:r w:rsidR="00E1514F">
        <w:rPr>
          <w:rFonts w:cs="David" w:hint="cs"/>
          <w:sz w:val="24"/>
          <w:szCs w:val="24"/>
          <w:rtl/>
        </w:rPr>
        <w:t>ות</w:t>
      </w:r>
      <w:r w:rsidR="001221EF">
        <w:rPr>
          <w:rFonts w:cs="David" w:hint="cs"/>
          <w:sz w:val="24"/>
          <w:szCs w:val="24"/>
          <w:rtl/>
        </w:rPr>
        <w:t xml:space="preserve"> </w:t>
      </w:r>
      <w:r w:rsidR="001221EF">
        <w:rPr>
          <w:rFonts w:cs="David" w:hint="cs"/>
          <w:sz w:val="24"/>
          <w:szCs w:val="24"/>
          <w:u w:val="single"/>
          <w:rtl/>
        </w:rPr>
        <w:t xml:space="preserve">לא </w:t>
      </w:r>
      <w:r w:rsidR="00E1514F">
        <w:rPr>
          <w:rFonts w:cs="David" w:hint="cs"/>
          <w:sz w:val="24"/>
          <w:szCs w:val="24"/>
          <w:u w:val="single"/>
          <w:rtl/>
        </w:rPr>
        <w:t>י</w:t>
      </w:r>
      <w:r w:rsidR="001221EF">
        <w:rPr>
          <w:rFonts w:cs="David" w:hint="cs"/>
          <w:sz w:val="24"/>
          <w:szCs w:val="24"/>
          <w:u w:val="single"/>
          <w:rtl/>
        </w:rPr>
        <w:t>הי</w:t>
      </w:r>
      <w:r w:rsidR="00E1514F">
        <w:rPr>
          <w:rFonts w:cs="David" w:hint="cs"/>
          <w:sz w:val="24"/>
          <w:szCs w:val="24"/>
          <w:u w:val="single"/>
          <w:rtl/>
        </w:rPr>
        <w:t>ו</w:t>
      </w:r>
      <w:r w:rsidR="001221EF">
        <w:rPr>
          <w:rFonts w:cs="David" w:hint="cs"/>
          <w:sz w:val="24"/>
          <w:szCs w:val="24"/>
          <w:u w:val="single"/>
          <w:rtl/>
        </w:rPr>
        <w:t xml:space="preserve"> רחב</w:t>
      </w:r>
      <w:r w:rsidR="00E1514F">
        <w:rPr>
          <w:rFonts w:cs="David" w:hint="cs"/>
          <w:sz w:val="24"/>
          <w:szCs w:val="24"/>
          <w:u w:val="single"/>
          <w:rtl/>
        </w:rPr>
        <w:t>ות</w:t>
      </w:r>
      <w:r w:rsidR="001221EF">
        <w:rPr>
          <w:rFonts w:cs="David" w:hint="cs"/>
          <w:sz w:val="24"/>
          <w:szCs w:val="24"/>
          <w:u w:val="single"/>
          <w:rtl/>
        </w:rPr>
        <w:t xml:space="preserve"> יותר מהדרוש</w:t>
      </w:r>
      <w:r w:rsidR="00DD3434" w:rsidRPr="00B0670B">
        <w:rPr>
          <w:rFonts w:cs="David" w:hint="cs"/>
          <w:sz w:val="24"/>
          <w:szCs w:val="24"/>
          <w:rtl/>
        </w:rPr>
        <w:t>; שלישית,</w:t>
      </w:r>
      <w:r w:rsidR="00F701FC" w:rsidRPr="00B0670B">
        <w:rPr>
          <w:rFonts w:cs="David" w:hint="cs"/>
          <w:sz w:val="24"/>
          <w:szCs w:val="24"/>
          <w:rtl/>
        </w:rPr>
        <w:t xml:space="preserve"> </w:t>
      </w:r>
      <w:r w:rsidR="001221EF">
        <w:rPr>
          <w:rFonts w:cs="David" w:hint="cs"/>
          <w:sz w:val="24"/>
          <w:szCs w:val="24"/>
          <w:rtl/>
        </w:rPr>
        <w:t>שהכביל</w:t>
      </w:r>
      <w:r w:rsidR="00DD3434">
        <w:rPr>
          <w:rFonts w:cs="David" w:hint="cs"/>
          <w:sz w:val="24"/>
          <w:szCs w:val="24"/>
          <w:rtl/>
        </w:rPr>
        <w:t>ות יהיו</w:t>
      </w:r>
      <w:r w:rsidR="001221EF">
        <w:rPr>
          <w:rFonts w:cs="David" w:hint="cs"/>
          <w:sz w:val="24"/>
          <w:szCs w:val="24"/>
          <w:rtl/>
        </w:rPr>
        <w:t xml:space="preserve"> </w:t>
      </w:r>
      <w:r w:rsidR="001221EF">
        <w:rPr>
          <w:rFonts w:cs="David" w:hint="cs"/>
          <w:sz w:val="24"/>
          <w:szCs w:val="24"/>
          <w:u w:val="single"/>
          <w:rtl/>
        </w:rPr>
        <w:t>משני</w:t>
      </w:r>
      <w:r w:rsidR="00DD3434">
        <w:rPr>
          <w:rFonts w:cs="David" w:hint="cs"/>
          <w:sz w:val="24"/>
          <w:szCs w:val="24"/>
          <w:u w:val="single"/>
          <w:rtl/>
        </w:rPr>
        <w:t>ו</w:t>
      </w:r>
      <w:r w:rsidR="001221EF">
        <w:rPr>
          <w:rFonts w:cs="David" w:hint="cs"/>
          <w:sz w:val="24"/>
          <w:szCs w:val="24"/>
          <w:u w:val="single"/>
          <w:rtl/>
        </w:rPr>
        <w:t>ת</w:t>
      </w:r>
      <w:r w:rsidR="001221EF">
        <w:rPr>
          <w:rFonts w:cs="David" w:hint="cs"/>
          <w:sz w:val="24"/>
          <w:szCs w:val="24"/>
          <w:rtl/>
        </w:rPr>
        <w:t xml:space="preserve"> לאותו שיתוף-פעולה לגיטימי שהוא </w:t>
      </w:r>
      <w:r w:rsidR="001221EF">
        <w:rPr>
          <w:rFonts w:cs="David" w:hint="cs"/>
          <w:b/>
          <w:bCs/>
          <w:sz w:val="24"/>
          <w:szCs w:val="24"/>
          <w:rtl/>
        </w:rPr>
        <w:t>"עיקר</w:t>
      </w:r>
      <w:r w:rsidR="008D42D9">
        <w:rPr>
          <w:rFonts w:cs="David" w:hint="cs"/>
          <w:b/>
          <w:bCs/>
          <w:sz w:val="24"/>
          <w:szCs w:val="24"/>
          <w:rtl/>
        </w:rPr>
        <w:t>ו של ההסדר</w:t>
      </w:r>
      <w:r w:rsidR="001221EF">
        <w:rPr>
          <w:rFonts w:cs="David" w:hint="cs"/>
          <w:b/>
          <w:bCs/>
          <w:sz w:val="24"/>
          <w:szCs w:val="24"/>
          <w:rtl/>
        </w:rPr>
        <w:t>"</w:t>
      </w:r>
      <w:r w:rsidR="001221EF">
        <w:rPr>
          <w:rFonts w:cs="David" w:hint="cs"/>
          <w:sz w:val="24"/>
          <w:szCs w:val="24"/>
          <w:rtl/>
        </w:rPr>
        <w:t>. נרחיב לעניין כל אח</w:t>
      </w:r>
      <w:r w:rsidR="000152B4">
        <w:rPr>
          <w:rFonts w:cs="David" w:hint="cs"/>
          <w:sz w:val="24"/>
          <w:szCs w:val="24"/>
          <w:rtl/>
        </w:rPr>
        <w:t>ד</w:t>
      </w:r>
      <w:r w:rsidR="001221EF">
        <w:rPr>
          <w:rFonts w:cs="David" w:hint="cs"/>
          <w:sz w:val="24"/>
          <w:szCs w:val="24"/>
          <w:rtl/>
        </w:rPr>
        <w:t xml:space="preserve"> ממרכיבים אלה של דרישת הנחיצות. </w:t>
      </w:r>
    </w:p>
    <w:p w14:paraId="65DD6E74" w14:textId="00B6366E" w:rsidR="00734DA1" w:rsidRPr="009D78E7" w:rsidRDefault="003D51A1" w:rsidP="009D78E7">
      <w:pPr>
        <w:pStyle w:val="Heading3"/>
        <w:rPr>
          <w:rtl/>
        </w:rPr>
      </w:pPr>
      <w:r w:rsidRPr="009D78E7">
        <w:rPr>
          <w:u w:val="none"/>
        </w:rPr>
        <w:t>IV</w:t>
      </w:r>
      <w:r w:rsidRPr="009D78E7">
        <w:rPr>
          <w:rFonts w:hint="cs"/>
          <w:u w:val="none"/>
          <w:rtl/>
        </w:rPr>
        <w:t>.א</w:t>
      </w:r>
      <w:r w:rsidR="00CB0935" w:rsidRPr="009D78E7">
        <w:rPr>
          <w:rFonts w:hint="cs"/>
          <w:u w:val="none"/>
          <w:rtl/>
        </w:rPr>
        <w:tab/>
      </w:r>
      <w:r w:rsidR="00734DA1" w:rsidRPr="009D78E7">
        <w:rPr>
          <w:rFonts w:hint="cs"/>
          <w:rtl/>
        </w:rPr>
        <w:t>דרישת הנחיצות</w:t>
      </w:r>
    </w:p>
    <w:p w14:paraId="3B5C640E" w14:textId="77777777" w:rsidR="00446E3B" w:rsidRDefault="001221EF" w:rsidP="00F701FC">
      <w:pPr>
        <w:spacing w:before="120" w:after="0" w:line="360" w:lineRule="auto"/>
        <w:jc w:val="both"/>
        <w:rPr>
          <w:rFonts w:cs="David"/>
          <w:sz w:val="24"/>
          <w:szCs w:val="24"/>
          <w:rtl/>
        </w:rPr>
      </w:pPr>
      <w:r>
        <w:rPr>
          <w:rFonts w:cs="David" w:hint="cs"/>
          <w:sz w:val="24"/>
          <w:szCs w:val="24"/>
          <w:rtl/>
        </w:rPr>
        <w:t>המרכיב הבסיסי של דרישת הנחיצות הוא כאמור שהכביל</w:t>
      </w:r>
      <w:r w:rsidR="00112038">
        <w:rPr>
          <w:rFonts w:cs="David" w:hint="cs"/>
          <w:sz w:val="24"/>
          <w:szCs w:val="24"/>
          <w:rtl/>
        </w:rPr>
        <w:t>ות</w:t>
      </w:r>
      <w:r>
        <w:rPr>
          <w:rFonts w:cs="David" w:hint="cs"/>
          <w:sz w:val="24"/>
          <w:szCs w:val="24"/>
          <w:rtl/>
        </w:rPr>
        <w:t xml:space="preserve"> </w:t>
      </w:r>
      <w:r w:rsidR="00112038">
        <w:rPr>
          <w:rFonts w:cs="David" w:hint="cs"/>
          <w:sz w:val="24"/>
          <w:szCs w:val="24"/>
          <w:rtl/>
        </w:rPr>
        <w:t xml:space="preserve">שבהסדר </w:t>
      </w:r>
      <w:r>
        <w:rPr>
          <w:rFonts w:cs="David" w:hint="cs"/>
          <w:sz w:val="24"/>
          <w:szCs w:val="24"/>
          <w:rtl/>
        </w:rPr>
        <w:t xml:space="preserve">אכן </w:t>
      </w:r>
      <w:r w:rsidR="00F701FC">
        <w:rPr>
          <w:rFonts w:cs="David" w:hint="cs"/>
          <w:sz w:val="24"/>
          <w:szCs w:val="24"/>
          <w:rtl/>
        </w:rPr>
        <w:t>יהיו</w:t>
      </w:r>
      <w:r>
        <w:rPr>
          <w:rFonts w:cs="David" w:hint="cs"/>
          <w:sz w:val="24"/>
          <w:szCs w:val="24"/>
          <w:rtl/>
        </w:rPr>
        <w:t xml:space="preserve"> נחוצ</w:t>
      </w:r>
      <w:r w:rsidR="00112038">
        <w:rPr>
          <w:rFonts w:cs="David" w:hint="cs"/>
          <w:sz w:val="24"/>
          <w:szCs w:val="24"/>
          <w:rtl/>
        </w:rPr>
        <w:t>ות</w:t>
      </w:r>
      <w:r>
        <w:rPr>
          <w:rFonts w:cs="David" w:hint="cs"/>
          <w:sz w:val="24"/>
          <w:szCs w:val="24"/>
          <w:rtl/>
        </w:rPr>
        <w:t xml:space="preserve"> למימוש אותו שיתוף-פעולה לגיטימי שהוא </w:t>
      </w:r>
      <w:r>
        <w:rPr>
          <w:rFonts w:cs="David" w:hint="cs"/>
          <w:b/>
          <w:bCs/>
          <w:sz w:val="24"/>
          <w:szCs w:val="24"/>
          <w:rtl/>
        </w:rPr>
        <w:t>"עיקר</w:t>
      </w:r>
      <w:r w:rsidR="00A30346">
        <w:rPr>
          <w:rFonts w:cs="David" w:hint="cs"/>
          <w:b/>
          <w:bCs/>
          <w:sz w:val="24"/>
          <w:szCs w:val="24"/>
          <w:rtl/>
        </w:rPr>
        <w:t>ו של ההסדר</w:t>
      </w:r>
      <w:r>
        <w:rPr>
          <w:rFonts w:cs="David" w:hint="cs"/>
          <w:b/>
          <w:bCs/>
          <w:sz w:val="24"/>
          <w:szCs w:val="24"/>
          <w:rtl/>
        </w:rPr>
        <w:t>"</w:t>
      </w:r>
      <w:r>
        <w:rPr>
          <w:rFonts w:cs="David" w:hint="cs"/>
          <w:sz w:val="24"/>
          <w:szCs w:val="24"/>
          <w:rtl/>
        </w:rPr>
        <w:t xml:space="preserve">. </w:t>
      </w:r>
      <w:r w:rsidR="00731C0D">
        <w:rPr>
          <w:rFonts w:cs="David" w:hint="cs"/>
          <w:sz w:val="24"/>
          <w:szCs w:val="24"/>
          <w:rtl/>
        </w:rPr>
        <w:t xml:space="preserve">מידת הנחיצות הדרושה תוארה בדרכים שונות בפסיקה. </w:t>
      </w:r>
    </w:p>
    <w:p w14:paraId="4E9D3E62" w14:textId="627736F7" w:rsidR="003759EE" w:rsidRDefault="00731C0D" w:rsidP="00F701FC">
      <w:pPr>
        <w:spacing w:before="120" w:after="0" w:line="360" w:lineRule="auto"/>
        <w:jc w:val="both"/>
        <w:rPr>
          <w:rFonts w:cs="David"/>
          <w:b/>
          <w:bCs/>
          <w:sz w:val="24"/>
          <w:szCs w:val="24"/>
          <w:rtl/>
        </w:rPr>
      </w:pPr>
      <w:r>
        <w:rPr>
          <w:rFonts w:cs="David" w:hint="cs"/>
          <w:sz w:val="24"/>
          <w:szCs w:val="24"/>
          <w:rtl/>
        </w:rPr>
        <w:t>בפ</w:t>
      </w:r>
      <w:r w:rsidR="00DF7E74">
        <w:rPr>
          <w:rFonts w:cs="David" w:hint="cs"/>
          <w:sz w:val="24"/>
          <w:szCs w:val="24"/>
          <w:rtl/>
        </w:rPr>
        <w:t>רשת</w:t>
      </w:r>
      <w:r>
        <w:rPr>
          <w:rFonts w:cs="David" w:hint="cs"/>
          <w:sz w:val="24"/>
          <w:szCs w:val="24"/>
          <w:rtl/>
        </w:rPr>
        <w:t xml:space="preserve"> </w:t>
      </w:r>
      <w:r>
        <w:rPr>
          <w:rFonts w:cs="David" w:hint="cs"/>
          <w:b/>
          <w:bCs/>
          <w:sz w:val="24"/>
          <w:szCs w:val="24"/>
          <w:rtl/>
        </w:rPr>
        <w:t>ארד</w:t>
      </w:r>
      <w:r>
        <w:rPr>
          <w:rFonts w:cs="David" w:hint="cs"/>
          <w:sz w:val="24"/>
          <w:szCs w:val="24"/>
          <w:rtl/>
        </w:rPr>
        <w:t xml:space="preserve">, במסגרת בקשה לאישור הסדר כובל, </w:t>
      </w:r>
      <w:r w:rsidR="006B2D48">
        <w:rPr>
          <w:rFonts w:cs="David" w:hint="cs"/>
          <w:sz w:val="24"/>
          <w:szCs w:val="24"/>
          <w:rtl/>
        </w:rPr>
        <w:t xml:space="preserve">הגדיר </w:t>
      </w:r>
      <w:r>
        <w:rPr>
          <w:rFonts w:cs="David" w:hint="cs"/>
          <w:sz w:val="24"/>
          <w:szCs w:val="24"/>
          <w:rtl/>
        </w:rPr>
        <w:t>בית-הדין את הדרישה כך:</w:t>
      </w:r>
      <w:r w:rsidR="003759EE">
        <w:rPr>
          <w:rStyle w:val="FootnoteReference"/>
          <w:rFonts w:cs="David"/>
          <w:sz w:val="24"/>
          <w:szCs w:val="24"/>
          <w:rtl/>
        </w:rPr>
        <w:footnoteReference w:id="43"/>
      </w:r>
      <w:r w:rsidR="003759EE">
        <w:rPr>
          <w:rFonts w:cs="David" w:hint="cs"/>
          <w:sz w:val="24"/>
          <w:szCs w:val="24"/>
          <w:rtl/>
        </w:rPr>
        <w:t xml:space="preserve"> </w:t>
      </w:r>
    </w:p>
    <w:p w14:paraId="1CE11187" w14:textId="2C3DEA60" w:rsidR="003759EE" w:rsidRDefault="00731C0D" w:rsidP="009557D4">
      <w:pPr>
        <w:pStyle w:val="Quote"/>
        <w:rPr>
          <w:rtl/>
        </w:rPr>
      </w:pPr>
      <w:r w:rsidRPr="00731C0D">
        <w:rPr>
          <w:rtl/>
        </w:rPr>
        <w:t>חיונית או למצער נדרשת באופן מובהק לשם ביצוע הסדר בעל מטרות מסחריות לגיטימיות</w:t>
      </w:r>
      <w:r>
        <w:rPr>
          <w:rFonts w:hint="cs"/>
          <w:rtl/>
        </w:rPr>
        <w:t>.</w:t>
      </w:r>
      <w:r w:rsidR="003759EE">
        <w:rPr>
          <w:rFonts w:hint="cs"/>
          <w:rtl/>
        </w:rPr>
        <w:t xml:space="preserve"> </w:t>
      </w:r>
    </w:p>
    <w:p w14:paraId="120ABFCF" w14:textId="77777777" w:rsidR="003759EE" w:rsidRDefault="00A9499E" w:rsidP="003759EE">
      <w:pPr>
        <w:spacing w:before="120" w:after="0" w:line="360" w:lineRule="auto"/>
        <w:jc w:val="both"/>
        <w:rPr>
          <w:rFonts w:cs="David"/>
          <w:b/>
          <w:bCs/>
          <w:sz w:val="24"/>
          <w:szCs w:val="24"/>
          <w:rtl/>
        </w:rPr>
      </w:pPr>
      <w:r>
        <w:rPr>
          <w:rFonts w:cs="David" w:hint="cs"/>
          <w:sz w:val="24"/>
          <w:szCs w:val="24"/>
          <w:rtl/>
        </w:rPr>
        <w:t>בפסק-די</w:t>
      </w:r>
      <w:r w:rsidR="009D0659">
        <w:rPr>
          <w:rFonts w:cs="David" w:hint="cs"/>
          <w:sz w:val="24"/>
          <w:szCs w:val="24"/>
          <w:rtl/>
        </w:rPr>
        <w:t>נו</w:t>
      </w:r>
      <w:r>
        <w:rPr>
          <w:rFonts w:cs="David" w:hint="cs"/>
          <w:sz w:val="24"/>
          <w:szCs w:val="24"/>
          <w:rtl/>
        </w:rPr>
        <w:t xml:space="preserve"> </w:t>
      </w:r>
      <w:r w:rsidR="00D92666">
        <w:rPr>
          <w:rFonts w:cs="David" w:hint="cs"/>
          <w:sz w:val="24"/>
          <w:szCs w:val="24"/>
          <w:rtl/>
        </w:rPr>
        <w:t xml:space="preserve">בעניין </w:t>
      </w:r>
      <w:r w:rsidR="00D92666">
        <w:rPr>
          <w:rFonts w:cs="David" w:hint="cs"/>
          <w:b/>
          <w:bCs/>
          <w:sz w:val="24"/>
          <w:szCs w:val="24"/>
          <w:rtl/>
        </w:rPr>
        <w:t>חברת החשמל</w:t>
      </w:r>
      <w:r>
        <w:rPr>
          <w:rFonts w:cs="David" w:hint="cs"/>
          <w:sz w:val="24"/>
          <w:szCs w:val="24"/>
          <w:rtl/>
        </w:rPr>
        <w:t xml:space="preserve">, אשר </w:t>
      </w:r>
      <w:r w:rsidR="00D92666">
        <w:rPr>
          <w:rFonts w:cs="David" w:hint="cs"/>
          <w:sz w:val="24"/>
          <w:szCs w:val="24"/>
          <w:rtl/>
        </w:rPr>
        <w:t xml:space="preserve">גם בו נידונה </w:t>
      </w:r>
      <w:r>
        <w:rPr>
          <w:rFonts w:cs="David" w:hint="cs"/>
          <w:sz w:val="24"/>
          <w:szCs w:val="24"/>
          <w:rtl/>
        </w:rPr>
        <w:t xml:space="preserve">בקשה לאישור הסדר כובל, </w:t>
      </w:r>
      <w:r w:rsidR="00D92666">
        <w:rPr>
          <w:rFonts w:cs="David" w:hint="cs"/>
          <w:sz w:val="24"/>
          <w:szCs w:val="24"/>
          <w:rtl/>
        </w:rPr>
        <w:t>כתב בית-הדין:</w:t>
      </w:r>
      <w:r w:rsidR="003759EE">
        <w:rPr>
          <w:rStyle w:val="FootnoteReference"/>
          <w:rFonts w:cs="David"/>
          <w:sz w:val="24"/>
          <w:szCs w:val="24"/>
          <w:rtl/>
        </w:rPr>
        <w:footnoteReference w:id="44"/>
      </w:r>
      <w:r w:rsidR="003759EE">
        <w:rPr>
          <w:rFonts w:cs="David" w:hint="cs"/>
          <w:sz w:val="24"/>
          <w:szCs w:val="24"/>
          <w:rtl/>
        </w:rPr>
        <w:t xml:space="preserve"> </w:t>
      </w:r>
      <w:r w:rsidR="00D92666">
        <w:rPr>
          <w:rFonts w:cs="David" w:hint="cs"/>
          <w:sz w:val="24"/>
          <w:szCs w:val="24"/>
          <w:rtl/>
        </w:rPr>
        <w:t xml:space="preserve"> </w:t>
      </w:r>
    </w:p>
    <w:p w14:paraId="0EBDD4D5" w14:textId="5650DF9B" w:rsidR="003759EE" w:rsidRDefault="00D92666" w:rsidP="009557D4">
      <w:pPr>
        <w:pStyle w:val="Quote"/>
        <w:rPr>
          <w:rtl/>
        </w:rPr>
      </w:pPr>
      <w:r>
        <w:rPr>
          <w:rFonts w:hint="cs"/>
          <w:rtl/>
        </w:rPr>
        <w:t>השאלה . . . אינה רק האם הכבילה נשוא הדיון עשויה לקדם את מטרות ההסדר, אלא האם היא חיונית לצורך כך, או לפחות, לפי מבחן מקל יותר, האם היא מקדמת את מטרות ההסדר הל</w:t>
      </w:r>
      <w:r w:rsidR="00C20ABA">
        <w:rPr>
          <w:rFonts w:hint="cs"/>
          <w:rtl/>
        </w:rPr>
        <w:t>ג</w:t>
      </w:r>
      <w:r>
        <w:rPr>
          <w:rFonts w:hint="cs"/>
          <w:rtl/>
        </w:rPr>
        <w:t>יטימיות בצורה טובה יותר באופן משמעותי מחלופות אחרות שפגיעתן בתחרות קטנה יותר.</w:t>
      </w:r>
    </w:p>
    <w:p w14:paraId="04880C8F" w14:textId="3376051B" w:rsidR="003759EE" w:rsidRDefault="00C20ABA" w:rsidP="003D51A1">
      <w:pPr>
        <w:spacing w:before="120" w:after="0" w:line="360" w:lineRule="auto"/>
        <w:jc w:val="both"/>
        <w:rPr>
          <w:rFonts w:cs="David"/>
          <w:b/>
          <w:bCs/>
          <w:sz w:val="24"/>
          <w:szCs w:val="24"/>
          <w:rtl/>
        </w:rPr>
      </w:pPr>
      <w:r>
        <w:rPr>
          <w:rFonts w:cs="David" w:hint="cs"/>
          <w:sz w:val="24"/>
          <w:szCs w:val="24"/>
          <w:rtl/>
        </w:rPr>
        <w:t xml:space="preserve">בפרשת </w:t>
      </w:r>
      <w:proofErr w:type="spellStart"/>
      <w:r>
        <w:rPr>
          <w:rFonts w:cs="David" w:hint="cs"/>
          <w:b/>
          <w:bCs/>
          <w:sz w:val="24"/>
          <w:szCs w:val="24"/>
          <w:rtl/>
        </w:rPr>
        <w:t>איסכור</w:t>
      </w:r>
      <w:proofErr w:type="spellEnd"/>
      <w:r>
        <w:rPr>
          <w:rFonts w:cs="David" w:hint="cs"/>
          <w:sz w:val="24"/>
          <w:szCs w:val="24"/>
          <w:rtl/>
        </w:rPr>
        <w:t>, שבה נדון ערר על מתן פטור לפני תיקונו</w:t>
      </w:r>
      <w:r w:rsidR="00AD7A89">
        <w:rPr>
          <w:rFonts w:cs="David" w:hint="cs"/>
          <w:sz w:val="24"/>
          <w:szCs w:val="24"/>
          <w:rtl/>
        </w:rPr>
        <w:t xml:space="preserve"> של סע' 14</w:t>
      </w:r>
      <w:r>
        <w:rPr>
          <w:rFonts w:cs="David" w:hint="cs"/>
          <w:sz w:val="24"/>
          <w:szCs w:val="24"/>
          <w:rtl/>
        </w:rPr>
        <w:t xml:space="preserve"> בשנת 2000, נאמר </w:t>
      </w:r>
      <w:r w:rsidR="003D51A1">
        <w:rPr>
          <w:rFonts w:cs="David" w:hint="cs"/>
          <w:sz w:val="24"/>
          <w:szCs w:val="24"/>
          <w:rtl/>
        </w:rPr>
        <w:t>כך</w:t>
      </w:r>
      <w:r w:rsidR="003759EE">
        <w:rPr>
          <w:rFonts w:cs="David" w:hint="cs"/>
          <w:sz w:val="24"/>
          <w:szCs w:val="24"/>
          <w:rtl/>
        </w:rPr>
        <w:t>:</w:t>
      </w:r>
      <w:r w:rsidR="003759EE" w:rsidRPr="00687641">
        <w:rPr>
          <w:rStyle w:val="FootnoteReference"/>
          <w:rFonts w:cs="David"/>
          <w:sz w:val="24"/>
          <w:szCs w:val="24"/>
          <w:rtl/>
        </w:rPr>
        <w:footnoteReference w:id="45"/>
      </w:r>
      <w:r w:rsidR="003759EE" w:rsidRPr="005A228B">
        <w:rPr>
          <w:rFonts w:cs="David" w:hint="cs"/>
          <w:sz w:val="24"/>
          <w:szCs w:val="24"/>
          <w:rtl/>
        </w:rPr>
        <w:t xml:space="preserve"> </w:t>
      </w:r>
      <w:r>
        <w:rPr>
          <w:rFonts w:cs="David" w:hint="cs"/>
          <w:sz w:val="24"/>
          <w:szCs w:val="24"/>
          <w:rtl/>
        </w:rPr>
        <w:t xml:space="preserve"> </w:t>
      </w:r>
    </w:p>
    <w:p w14:paraId="779F0F80" w14:textId="492096DD" w:rsidR="003759EE" w:rsidRDefault="00C20ABA" w:rsidP="009557D4">
      <w:pPr>
        <w:pStyle w:val="Quote"/>
        <w:rPr>
          <w:rtl/>
        </w:rPr>
      </w:pPr>
      <w:r w:rsidRPr="00687641">
        <w:rPr>
          <w:rFonts w:hint="cs"/>
          <w:rtl/>
        </w:rPr>
        <w:t>כבילות</w:t>
      </w:r>
      <w:r w:rsidRPr="00687641">
        <w:rPr>
          <w:rtl/>
        </w:rPr>
        <w:t xml:space="preserve"> </w:t>
      </w:r>
      <w:r w:rsidRPr="00687641">
        <w:rPr>
          <w:rFonts w:hint="cs"/>
          <w:rtl/>
        </w:rPr>
        <w:t>שהן</w:t>
      </w:r>
      <w:r w:rsidRPr="00687641">
        <w:rPr>
          <w:rtl/>
        </w:rPr>
        <w:t xml:space="preserve"> </w:t>
      </w:r>
      <w:r w:rsidRPr="00687641">
        <w:rPr>
          <w:rFonts w:hint="cs"/>
          <w:rtl/>
        </w:rPr>
        <w:t>חיוניות</w:t>
      </w:r>
      <w:r w:rsidRPr="00687641">
        <w:rPr>
          <w:rtl/>
        </w:rPr>
        <w:t xml:space="preserve"> </w:t>
      </w:r>
      <w:r w:rsidRPr="00687641">
        <w:rPr>
          <w:rFonts w:hint="cs"/>
          <w:rtl/>
        </w:rPr>
        <w:t>לשם</w:t>
      </w:r>
      <w:r w:rsidRPr="00687641">
        <w:rPr>
          <w:rtl/>
        </w:rPr>
        <w:t xml:space="preserve"> </w:t>
      </w:r>
      <w:r w:rsidRPr="00687641">
        <w:rPr>
          <w:rFonts w:hint="cs"/>
          <w:rtl/>
        </w:rPr>
        <w:t>הקמתו</w:t>
      </w:r>
      <w:r w:rsidRPr="00687641">
        <w:rPr>
          <w:rtl/>
        </w:rPr>
        <w:t xml:space="preserve"> </w:t>
      </w:r>
      <w:r w:rsidRPr="00687641">
        <w:rPr>
          <w:rFonts w:hint="cs"/>
          <w:rtl/>
        </w:rPr>
        <w:t>של</w:t>
      </w:r>
      <w:r w:rsidRPr="00687641">
        <w:rPr>
          <w:rtl/>
        </w:rPr>
        <w:t xml:space="preserve"> </w:t>
      </w:r>
      <w:r w:rsidRPr="00687641">
        <w:rPr>
          <w:rFonts w:hint="cs"/>
          <w:rtl/>
        </w:rPr>
        <w:t>המיזם</w:t>
      </w:r>
      <w:r w:rsidRPr="00687641">
        <w:rPr>
          <w:rtl/>
        </w:rPr>
        <w:t xml:space="preserve"> </w:t>
      </w:r>
      <w:r w:rsidRPr="00687641">
        <w:rPr>
          <w:rFonts w:hint="cs"/>
          <w:rtl/>
        </w:rPr>
        <w:t>והבטחת</w:t>
      </w:r>
      <w:r w:rsidRPr="00687641">
        <w:rPr>
          <w:rtl/>
        </w:rPr>
        <w:t xml:space="preserve"> </w:t>
      </w:r>
      <w:r w:rsidRPr="00687641">
        <w:rPr>
          <w:rFonts w:hint="cs"/>
          <w:rtl/>
        </w:rPr>
        <w:t>פעילותו</w:t>
      </w:r>
      <w:r w:rsidRPr="00687641">
        <w:rPr>
          <w:rtl/>
        </w:rPr>
        <w:t xml:space="preserve">, </w:t>
      </w:r>
      <w:r w:rsidRPr="00687641">
        <w:rPr>
          <w:rFonts w:hint="cs"/>
          <w:rtl/>
        </w:rPr>
        <w:t>ואשר</w:t>
      </w:r>
      <w:r w:rsidRPr="00687641">
        <w:rPr>
          <w:rtl/>
        </w:rPr>
        <w:t xml:space="preserve"> </w:t>
      </w:r>
      <w:r w:rsidRPr="00687641">
        <w:rPr>
          <w:rFonts w:hint="cs"/>
          <w:rtl/>
        </w:rPr>
        <w:t>העדרן</w:t>
      </w:r>
      <w:r w:rsidRPr="00687641">
        <w:rPr>
          <w:rtl/>
        </w:rPr>
        <w:t xml:space="preserve"> </w:t>
      </w:r>
      <w:r w:rsidRPr="00687641">
        <w:rPr>
          <w:rFonts w:hint="cs"/>
          <w:rtl/>
        </w:rPr>
        <w:t>עלול</w:t>
      </w:r>
      <w:r w:rsidRPr="00687641">
        <w:rPr>
          <w:rtl/>
        </w:rPr>
        <w:t xml:space="preserve"> </w:t>
      </w:r>
      <w:r w:rsidRPr="00687641">
        <w:rPr>
          <w:rFonts w:hint="cs"/>
          <w:rtl/>
        </w:rPr>
        <w:t>לסכן</w:t>
      </w:r>
      <w:r w:rsidRPr="00687641">
        <w:rPr>
          <w:rtl/>
        </w:rPr>
        <w:t xml:space="preserve"> </w:t>
      </w:r>
      <w:r w:rsidRPr="00687641">
        <w:rPr>
          <w:rFonts w:hint="cs"/>
          <w:rtl/>
        </w:rPr>
        <w:t>את</w:t>
      </w:r>
      <w:r w:rsidRPr="00687641">
        <w:rPr>
          <w:rtl/>
        </w:rPr>
        <w:t xml:space="preserve"> </w:t>
      </w:r>
      <w:r w:rsidRPr="00687641">
        <w:rPr>
          <w:rFonts w:hint="cs"/>
          <w:rtl/>
        </w:rPr>
        <w:t>קיומו</w:t>
      </w:r>
      <w:r w:rsidRPr="00687641">
        <w:rPr>
          <w:rtl/>
        </w:rPr>
        <w:t xml:space="preserve"> </w:t>
      </w:r>
      <w:r w:rsidRPr="00687641">
        <w:rPr>
          <w:rFonts w:hint="cs"/>
          <w:rtl/>
        </w:rPr>
        <w:t>של</w:t>
      </w:r>
      <w:r w:rsidRPr="00687641">
        <w:rPr>
          <w:rtl/>
        </w:rPr>
        <w:t xml:space="preserve"> </w:t>
      </w:r>
      <w:r w:rsidRPr="00687641">
        <w:rPr>
          <w:rFonts w:hint="cs"/>
          <w:rtl/>
        </w:rPr>
        <w:t>המיזם</w:t>
      </w:r>
      <w:r w:rsidRPr="00687641">
        <w:rPr>
          <w:rtl/>
        </w:rPr>
        <w:t xml:space="preserve"> </w:t>
      </w:r>
      <w:r w:rsidRPr="00687641">
        <w:rPr>
          <w:rFonts w:hint="cs"/>
          <w:rtl/>
        </w:rPr>
        <w:t>המשותף</w:t>
      </w:r>
      <w:r>
        <w:rPr>
          <w:rFonts w:hint="cs"/>
          <w:rtl/>
        </w:rPr>
        <w:t>.</w:t>
      </w:r>
    </w:p>
    <w:p w14:paraId="2A0E4F06" w14:textId="670ADEB7" w:rsidR="006A7C47" w:rsidRDefault="00A35699" w:rsidP="005B5FE7">
      <w:pPr>
        <w:spacing w:before="120" w:after="0" w:line="360" w:lineRule="auto"/>
        <w:jc w:val="both"/>
        <w:rPr>
          <w:rFonts w:cs="David"/>
          <w:sz w:val="24"/>
          <w:szCs w:val="24"/>
          <w:rtl/>
        </w:rPr>
      </w:pPr>
      <w:r>
        <w:rPr>
          <w:rFonts w:cs="David" w:hint="cs"/>
          <w:sz w:val="24"/>
          <w:szCs w:val="24"/>
          <w:rtl/>
        </w:rPr>
        <w:t>הרשות תראה כבילה כעומדת בדרישת הנחיצות אם היא קשורה באופן ישיר ודרושה באופן סביר למימוש עיקרו של ההסדר.</w:t>
      </w:r>
      <w:r>
        <w:rPr>
          <w:rStyle w:val="FootnoteReference"/>
          <w:rFonts w:cs="David"/>
          <w:sz w:val="24"/>
          <w:szCs w:val="24"/>
          <w:rtl/>
        </w:rPr>
        <w:footnoteReference w:id="46"/>
      </w:r>
      <w:r w:rsidR="00D624B3">
        <w:rPr>
          <w:rFonts w:cs="David" w:hint="cs"/>
          <w:sz w:val="24"/>
          <w:szCs w:val="24"/>
          <w:rtl/>
        </w:rPr>
        <w:t xml:space="preserve"> לעניין זה תתמקד </w:t>
      </w:r>
      <w:r w:rsidR="005B5FE7">
        <w:rPr>
          <w:rFonts w:cs="David" w:hint="cs"/>
          <w:sz w:val="24"/>
          <w:szCs w:val="24"/>
          <w:rtl/>
        </w:rPr>
        <w:t xml:space="preserve">הרשות </w:t>
      </w:r>
      <w:r w:rsidR="00D624B3">
        <w:rPr>
          <w:rFonts w:cs="David" w:hint="cs"/>
          <w:sz w:val="24"/>
          <w:szCs w:val="24"/>
          <w:rtl/>
        </w:rPr>
        <w:t>בשאלת קיומן של אלטרנטיבות מעשיות שפגיעתן המסתברת בתחרות היא פחותה באופן ניכר מן הכבילה שנבחרה על-ידי הצדדים. קיומן של אלטרנטיבות שהן תיאורטיות גרידא, או שפגיעתן בתחרות פחותה אך במידה מזערית, לא יוביל למסקנה כי הכבילה שנבחרה על-ידי הצדדים אינה נחוצה.</w:t>
      </w:r>
      <w:r w:rsidR="00D624B3">
        <w:rPr>
          <w:rStyle w:val="FootnoteReference"/>
          <w:rFonts w:cs="David"/>
          <w:sz w:val="24"/>
          <w:szCs w:val="24"/>
          <w:rtl/>
        </w:rPr>
        <w:footnoteReference w:id="47"/>
      </w:r>
      <w:r>
        <w:rPr>
          <w:rFonts w:cs="David" w:hint="cs"/>
          <w:sz w:val="24"/>
          <w:szCs w:val="24"/>
          <w:rtl/>
        </w:rPr>
        <w:t xml:space="preserve"> </w:t>
      </w:r>
      <w:r w:rsidR="00E811A1">
        <w:rPr>
          <w:rFonts w:cs="David" w:hint="cs"/>
          <w:sz w:val="24"/>
          <w:szCs w:val="24"/>
          <w:rtl/>
        </w:rPr>
        <w:t xml:space="preserve">יישום המבחן הוא בהתאם לעובדות </w:t>
      </w:r>
      <w:r w:rsidR="00730032">
        <w:rPr>
          <w:rFonts w:cs="David" w:hint="cs"/>
          <w:sz w:val="24"/>
          <w:szCs w:val="24"/>
          <w:rtl/>
        </w:rPr>
        <w:t xml:space="preserve">הקונקרטיות </w:t>
      </w:r>
      <w:r w:rsidR="00E811A1">
        <w:rPr>
          <w:rFonts w:cs="David" w:hint="cs"/>
          <w:sz w:val="24"/>
          <w:szCs w:val="24"/>
          <w:rtl/>
        </w:rPr>
        <w:t>של כל מקרה ומקרה.</w:t>
      </w:r>
      <w:bookmarkStart w:id="23" w:name="_Ref506810153"/>
      <w:r w:rsidR="00986ACD">
        <w:rPr>
          <w:rStyle w:val="FootnoteReference"/>
          <w:rFonts w:cs="David"/>
          <w:sz w:val="24"/>
          <w:szCs w:val="24"/>
          <w:rtl/>
        </w:rPr>
        <w:footnoteReference w:id="48"/>
      </w:r>
      <w:bookmarkEnd w:id="23"/>
      <w:r w:rsidR="00023988">
        <w:rPr>
          <w:rFonts w:cs="David" w:hint="cs"/>
          <w:sz w:val="24"/>
          <w:szCs w:val="24"/>
          <w:rtl/>
        </w:rPr>
        <w:t xml:space="preserve"> </w:t>
      </w:r>
      <w:r w:rsidR="006A7C47">
        <w:rPr>
          <w:rFonts w:cs="David" w:hint="cs"/>
          <w:sz w:val="24"/>
          <w:szCs w:val="24"/>
          <w:rtl/>
        </w:rPr>
        <w:t xml:space="preserve">אם ההסדר כולל כבילה שאינה נחוצה למימוש </w:t>
      </w:r>
      <w:r w:rsidR="006A7C47">
        <w:rPr>
          <w:rFonts w:cs="David" w:hint="cs"/>
          <w:sz w:val="24"/>
          <w:szCs w:val="24"/>
          <w:rtl/>
        </w:rPr>
        <w:lastRenderedPageBreak/>
        <w:t xml:space="preserve">מטרתו הלגיטימית של ההסדר, לא יקיים ההסדר את </w:t>
      </w:r>
      <w:r w:rsidR="00F755FA">
        <w:rPr>
          <w:rFonts w:cs="David" w:hint="cs"/>
          <w:sz w:val="24"/>
          <w:szCs w:val="24"/>
          <w:rtl/>
        </w:rPr>
        <w:t xml:space="preserve">דרישת </w:t>
      </w:r>
      <w:r w:rsidR="006A7C47">
        <w:rPr>
          <w:rFonts w:cs="David" w:hint="cs"/>
          <w:sz w:val="24"/>
          <w:szCs w:val="24"/>
          <w:rtl/>
        </w:rPr>
        <w:t xml:space="preserve">הסיפא של סע' 14(א)(2) לחוק, </w:t>
      </w:r>
      <w:r w:rsidR="007C510F">
        <w:rPr>
          <w:rFonts w:cs="David" w:hint="cs"/>
          <w:sz w:val="24"/>
          <w:szCs w:val="24"/>
          <w:rtl/>
        </w:rPr>
        <w:t xml:space="preserve">הקובע </w:t>
      </w:r>
      <w:r w:rsidR="006A7C47">
        <w:rPr>
          <w:rFonts w:cs="David" w:hint="cs"/>
          <w:b/>
          <w:bCs/>
          <w:sz w:val="24"/>
          <w:szCs w:val="24"/>
          <w:rtl/>
        </w:rPr>
        <w:t>"ואין בו כבילות שאינן נחוצות למימוש עיקרו"</w:t>
      </w:r>
      <w:r w:rsidR="006A7C47">
        <w:rPr>
          <w:rFonts w:cs="David" w:hint="cs"/>
          <w:sz w:val="24"/>
          <w:szCs w:val="24"/>
          <w:rtl/>
        </w:rPr>
        <w:t xml:space="preserve">.  </w:t>
      </w:r>
    </w:p>
    <w:p w14:paraId="7EE4E674" w14:textId="2778F3AF" w:rsidR="009B2A08" w:rsidRPr="009D78E7" w:rsidRDefault="003D51A1" w:rsidP="009D78E7">
      <w:pPr>
        <w:pStyle w:val="Heading3"/>
        <w:rPr>
          <w:rtl/>
        </w:rPr>
      </w:pPr>
      <w:r w:rsidRPr="009D78E7">
        <w:rPr>
          <w:u w:val="none"/>
        </w:rPr>
        <w:t>IV</w:t>
      </w:r>
      <w:r w:rsidRPr="009D78E7">
        <w:rPr>
          <w:rFonts w:hint="cs"/>
          <w:u w:val="none"/>
          <w:rtl/>
        </w:rPr>
        <w:t>.ב</w:t>
      </w:r>
      <w:r w:rsidR="00CB0935" w:rsidRPr="009D78E7">
        <w:rPr>
          <w:rFonts w:hint="cs"/>
          <w:u w:val="none"/>
          <w:rtl/>
        </w:rPr>
        <w:tab/>
      </w:r>
      <w:r w:rsidR="00E741E7" w:rsidRPr="009D78E7">
        <w:rPr>
          <w:rFonts w:hint="cs"/>
          <w:rtl/>
        </w:rPr>
        <w:t>מניעת</w:t>
      </w:r>
      <w:r w:rsidR="00692EA1" w:rsidRPr="009D78E7">
        <w:rPr>
          <w:rFonts w:hint="cs"/>
          <w:rtl/>
        </w:rPr>
        <w:t xml:space="preserve"> "הנאת חינם" (</w:t>
      </w:r>
      <w:r w:rsidR="00692EA1" w:rsidRPr="009D78E7">
        <w:t xml:space="preserve">Free </w:t>
      </w:r>
      <w:proofErr w:type="gramStart"/>
      <w:r w:rsidR="00692EA1" w:rsidRPr="009D78E7">
        <w:t>Riding</w:t>
      </w:r>
      <w:proofErr w:type="gramEnd"/>
      <w:r w:rsidR="00692EA1" w:rsidRPr="009D78E7">
        <w:rPr>
          <w:rFonts w:hint="cs"/>
          <w:rtl/>
        </w:rPr>
        <w:t>)</w:t>
      </w:r>
      <w:r w:rsidR="00080B02" w:rsidRPr="009D78E7">
        <w:rPr>
          <w:rFonts w:hint="cs"/>
          <w:rtl/>
        </w:rPr>
        <w:t xml:space="preserve"> ונחיצות הכבילה</w:t>
      </w:r>
    </w:p>
    <w:p w14:paraId="2EDAA3CE" w14:textId="5DAD5DD8" w:rsidR="00503782" w:rsidRPr="00E1634D" w:rsidRDefault="00C61730" w:rsidP="002F0DF2">
      <w:pPr>
        <w:spacing w:before="120" w:after="0" w:line="360" w:lineRule="auto"/>
        <w:jc w:val="both"/>
        <w:rPr>
          <w:rFonts w:cs="David"/>
          <w:sz w:val="24"/>
          <w:szCs w:val="24"/>
          <w:rtl/>
        </w:rPr>
      </w:pPr>
      <w:r>
        <w:rPr>
          <w:rFonts w:cs="David" w:hint="cs"/>
          <w:sz w:val="24"/>
          <w:szCs w:val="24"/>
          <w:rtl/>
        </w:rPr>
        <w:t xml:space="preserve">יש מקרים שבהם </w:t>
      </w:r>
      <w:r w:rsidR="0075761D">
        <w:rPr>
          <w:rFonts w:cs="David" w:hint="cs"/>
          <w:sz w:val="24"/>
          <w:szCs w:val="24"/>
          <w:rtl/>
        </w:rPr>
        <w:t>נחיצותה של כבילה למימוש</w:t>
      </w:r>
      <w:r w:rsidR="00834F58">
        <w:rPr>
          <w:rFonts w:cs="David" w:hint="cs"/>
          <w:sz w:val="24"/>
          <w:szCs w:val="24"/>
          <w:rtl/>
        </w:rPr>
        <w:t xml:space="preserve"> אותו שיתוף-פעולה לגיטימי</w:t>
      </w:r>
      <w:r w:rsidR="00107093">
        <w:rPr>
          <w:rFonts w:cs="David" w:hint="cs"/>
          <w:sz w:val="24"/>
          <w:szCs w:val="24"/>
          <w:rtl/>
        </w:rPr>
        <w:t>,</w:t>
      </w:r>
      <w:r w:rsidR="00834F58">
        <w:rPr>
          <w:rFonts w:cs="David" w:hint="cs"/>
          <w:sz w:val="24"/>
          <w:szCs w:val="24"/>
          <w:rtl/>
        </w:rPr>
        <w:t xml:space="preserve"> שהוא </w:t>
      </w:r>
      <w:r w:rsidR="00834F58">
        <w:rPr>
          <w:rFonts w:cs="David" w:hint="cs"/>
          <w:b/>
          <w:bCs/>
          <w:sz w:val="24"/>
          <w:szCs w:val="24"/>
          <w:rtl/>
        </w:rPr>
        <w:t>"עיקרו"</w:t>
      </w:r>
      <w:r w:rsidR="00834F58">
        <w:rPr>
          <w:rFonts w:cs="David" w:hint="cs"/>
          <w:sz w:val="24"/>
          <w:szCs w:val="24"/>
          <w:rtl/>
        </w:rPr>
        <w:t xml:space="preserve"> של ההסדר, </w:t>
      </w:r>
      <w:r w:rsidR="00DD0DAD">
        <w:rPr>
          <w:rFonts w:cs="David" w:hint="cs"/>
          <w:sz w:val="24"/>
          <w:szCs w:val="24"/>
          <w:rtl/>
        </w:rPr>
        <w:t>נעוצה</w:t>
      </w:r>
      <w:r w:rsidR="00BC2015">
        <w:rPr>
          <w:rFonts w:cs="David" w:hint="cs"/>
          <w:sz w:val="24"/>
          <w:szCs w:val="24"/>
          <w:rtl/>
        </w:rPr>
        <w:t xml:space="preserve"> ב</w:t>
      </w:r>
      <w:r w:rsidR="0075761D">
        <w:rPr>
          <w:rFonts w:cs="David" w:hint="cs"/>
          <w:sz w:val="24"/>
          <w:szCs w:val="24"/>
          <w:rtl/>
        </w:rPr>
        <w:t>צורך למנוע סיכון של הנאת חינם (</w:t>
      </w:r>
      <w:r w:rsidR="0075761D" w:rsidRPr="00057443">
        <w:rPr>
          <w:rFonts w:asciiTheme="majorBidi" w:hAnsiTheme="majorBidi" w:cstheme="majorBidi"/>
          <w:sz w:val="24"/>
          <w:szCs w:val="24"/>
        </w:rPr>
        <w:t>free riding</w:t>
      </w:r>
      <w:r w:rsidR="0075761D">
        <w:rPr>
          <w:rFonts w:cs="David" w:hint="cs"/>
          <w:sz w:val="24"/>
          <w:szCs w:val="24"/>
          <w:rtl/>
        </w:rPr>
        <w:t>)</w:t>
      </w:r>
      <w:r w:rsidR="00A35535">
        <w:rPr>
          <w:rFonts w:cs="David" w:hint="cs"/>
          <w:sz w:val="24"/>
          <w:szCs w:val="24"/>
          <w:rtl/>
        </w:rPr>
        <w:t xml:space="preserve"> הנוצר אגב שיתוף-הפעולה הלגיטימי</w:t>
      </w:r>
      <w:r w:rsidR="0075761D">
        <w:rPr>
          <w:rFonts w:cs="David" w:hint="cs"/>
          <w:sz w:val="24"/>
          <w:szCs w:val="24"/>
          <w:rtl/>
        </w:rPr>
        <w:t>.</w:t>
      </w:r>
      <w:r w:rsidR="007B3A5A">
        <w:rPr>
          <w:rStyle w:val="FootnoteReference"/>
          <w:rFonts w:cs="David"/>
          <w:sz w:val="24"/>
          <w:szCs w:val="24"/>
          <w:rtl/>
        </w:rPr>
        <w:footnoteReference w:id="49"/>
      </w:r>
      <w:r w:rsidR="004B609E">
        <w:rPr>
          <w:rFonts w:cs="David" w:hint="cs"/>
          <w:sz w:val="24"/>
          <w:szCs w:val="24"/>
          <w:rtl/>
        </w:rPr>
        <w:t xml:space="preserve"> </w:t>
      </w:r>
      <w:r>
        <w:rPr>
          <w:rFonts w:cs="David" w:hint="cs"/>
          <w:sz w:val="24"/>
          <w:szCs w:val="24"/>
          <w:rtl/>
        </w:rPr>
        <w:t xml:space="preserve">לעתים, </w:t>
      </w:r>
      <w:r w:rsidR="00E1634D">
        <w:rPr>
          <w:rFonts w:cs="David" w:hint="cs"/>
          <w:sz w:val="24"/>
          <w:szCs w:val="24"/>
          <w:rtl/>
        </w:rPr>
        <w:t xml:space="preserve">שיתוף-פעולה </w:t>
      </w:r>
      <w:r w:rsidR="003D51A1">
        <w:rPr>
          <w:rFonts w:cs="David" w:hint="cs"/>
          <w:sz w:val="24"/>
          <w:szCs w:val="24"/>
          <w:rtl/>
        </w:rPr>
        <w:t>ח</w:t>
      </w:r>
      <w:r w:rsidR="00E03533">
        <w:rPr>
          <w:rFonts w:cs="David" w:hint="cs"/>
          <w:sz w:val="24"/>
          <w:szCs w:val="24"/>
          <w:rtl/>
        </w:rPr>
        <w:t>ו</w:t>
      </w:r>
      <w:r w:rsidR="003D51A1">
        <w:rPr>
          <w:rFonts w:cs="David" w:hint="cs"/>
          <w:sz w:val="24"/>
          <w:szCs w:val="24"/>
          <w:rtl/>
        </w:rPr>
        <w:t xml:space="preserve">שף </w:t>
      </w:r>
      <w:r w:rsidR="00E1634D">
        <w:rPr>
          <w:rFonts w:cs="David" w:hint="cs"/>
          <w:sz w:val="24"/>
          <w:szCs w:val="24"/>
          <w:rtl/>
        </w:rPr>
        <w:t xml:space="preserve"> כל צד לסיכון שצד אחר ינסה ליהנות הנאת חינם על-חשבונו. החשש מפני סיכון זה</w:t>
      </w:r>
      <w:r w:rsidR="00FB286E">
        <w:rPr>
          <w:rFonts w:cs="David" w:hint="cs"/>
          <w:sz w:val="24"/>
          <w:szCs w:val="24"/>
          <w:rtl/>
        </w:rPr>
        <w:t>, אשר נוצר אגב שיתוף-הפעולה,</w:t>
      </w:r>
      <w:r w:rsidR="00E1634D">
        <w:rPr>
          <w:rFonts w:cs="David" w:hint="cs"/>
          <w:sz w:val="24"/>
          <w:szCs w:val="24"/>
          <w:rtl/>
        </w:rPr>
        <w:t xml:space="preserve"> עשוי להרתיע צדדים מלשתף פעולה מלכתחילה, או</w:t>
      </w:r>
      <w:r w:rsidR="001E24DB">
        <w:rPr>
          <w:rFonts w:cs="David" w:hint="cs"/>
          <w:sz w:val="24"/>
          <w:szCs w:val="24"/>
          <w:rtl/>
        </w:rPr>
        <w:t xml:space="preserve"> להרתיע אותם</w:t>
      </w:r>
      <w:r w:rsidR="00E1634D">
        <w:rPr>
          <w:rFonts w:cs="David" w:hint="cs"/>
          <w:sz w:val="24"/>
          <w:szCs w:val="24"/>
          <w:rtl/>
        </w:rPr>
        <w:t xml:space="preserve"> מלהירתם באופן מלא להצלחת שיתוף-הפעולה</w:t>
      </w:r>
      <w:r w:rsidR="001E24DB">
        <w:rPr>
          <w:rFonts w:cs="David" w:hint="cs"/>
          <w:sz w:val="24"/>
          <w:szCs w:val="24"/>
          <w:rtl/>
        </w:rPr>
        <w:t xml:space="preserve"> וכך </w:t>
      </w:r>
      <w:r w:rsidR="00DE2713">
        <w:rPr>
          <w:rFonts w:cs="David" w:hint="cs"/>
          <w:sz w:val="24"/>
          <w:szCs w:val="24"/>
          <w:rtl/>
        </w:rPr>
        <w:t>ת</w:t>
      </w:r>
      <w:r w:rsidR="001E24DB">
        <w:rPr>
          <w:rFonts w:cs="David" w:hint="cs"/>
          <w:sz w:val="24"/>
          <w:szCs w:val="24"/>
          <w:rtl/>
        </w:rPr>
        <w:t xml:space="preserve">יפגע </w:t>
      </w:r>
      <w:r w:rsidR="00E1634D">
        <w:rPr>
          <w:rFonts w:cs="David" w:hint="cs"/>
          <w:sz w:val="24"/>
          <w:szCs w:val="24"/>
          <w:rtl/>
        </w:rPr>
        <w:t>יעילותו.</w:t>
      </w:r>
      <w:r w:rsidR="00D37954">
        <w:rPr>
          <w:rFonts w:cs="David" w:hint="cs"/>
          <w:sz w:val="24"/>
          <w:szCs w:val="24"/>
          <w:rtl/>
        </w:rPr>
        <w:t xml:space="preserve"> כדי להסיר את החשש ולאפשר שיתוף-פעולה מלא ויעיל, </w:t>
      </w:r>
      <w:r w:rsidR="00FB4B7A">
        <w:rPr>
          <w:rFonts w:cs="David" w:hint="cs"/>
          <w:sz w:val="24"/>
          <w:szCs w:val="24"/>
          <w:rtl/>
        </w:rPr>
        <w:t xml:space="preserve">פעמים רבות </w:t>
      </w:r>
      <w:r w:rsidR="00D37954">
        <w:rPr>
          <w:rFonts w:cs="David" w:hint="cs"/>
          <w:sz w:val="24"/>
          <w:szCs w:val="24"/>
          <w:rtl/>
        </w:rPr>
        <w:t>הצדדים לשיתוף-הפעולה מתחייבים</w:t>
      </w:r>
      <w:r w:rsidR="00515E5F">
        <w:rPr>
          <w:rFonts w:cs="David" w:hint="cs"/>
          <w:sz w:val="24"/>
          <w:szCs w:val="24"/>
          <w:rtl/>
        </w:rPr>
        <w:t xml:space="preserve"> (במפורש</w:t>
      </w:r>
      <w:r w:rsidR="00CF7D43">
        <w:rPr>
          <w:rFonts w:cs="David" w:hint="cs"/>
          <w:sz w:val="24"/>
          <w:szCs w:val="24"/>
          <w:rtl/>
        </w:rPr>
        <w:t>,</w:t>
      </w:r>
      <w:r w:rsidR="00515E5F">
        <w:rPr>
          <w:rFonts w:cs="David" w:hint="cs"/>
          <w:sz w:val="24"/>
          <w:szCs w:val="24"/>
          <w:rtl/>
        </w:rPr>
        <w:t xml:space="preserve"> במשתמע</w:t>
      </w:r>
      <w:r w:rsidR="00CF7D43">
        <w:rPr>
          <w:rFonts w:cs="David" w:hint="cs"/>
          <w:sz w:val="24"/>
          <w:szCs w:val="24"/>
          <w:rtl/>
        </w:rPr>
        <w:t xml:space="preserve"> או מכוח הדין</w:t>
      </w:r>
      <w:r w:rsidR="00515E5F">
        <w:rPr>
          <w:rFonts w:cs="David" w:hint="cs"/>
          <w:sz w:val="24"/>
          <w:szCs w:val="24"/>
          <w:rtl/>
        </w:rPr>
        <w:t>)</w:t>
      </w:r>
      <w:r w:rsidR="00D37954">
        <w:rPr>
          <w:rFonts w:cs="David" w:hint="cs"/>
          <w:sz w:val="24"/>
          <w:szCs w:val="24"/>
          <w:rtl/>
        </w:rPr>
        <w:t xml:space="preserve"> שלא להתחרות באופן עצמאי נגד הפעילות המשותפת.</w:t>
      </w:r>
      <w:bookmarkStart w:id="24" w:name="_Ref506921526"/>
      <w:r w:rsidR="00E1634D">
        <w:rPr>
          <w:rStyle w:val="FootnoteReference"/>
          <w:rFonts w:cs="David"/>
          <w:sz w:val="24"/>
          <w:szCs w:val="24"/>
          <w:rtl/>
        </w:rPr>
        <w:footnoteReference w:id="50"/>
      </w:r>
      <w:bookmarkEnd w:id="24"/>
      <w:r w:rsidR="00CF7D43">
        <w:rPr>
          <w:rFonts w:cs="David" w:hint="cs"/>
          <w:sz w:val="24"/>
          <w:szCs w:val="24"/>
          <w:rtl/>
        </w:rPr>
        <w:t xml:space="preserve"> </w:t>
      </w:r>
    </w:p>
    <w:p w14:paraId="68CF808F" w14:textId="3480F26C" w:rsidR="002558B7" w:rsidRDefault="008D5FE2" w:rsidP="007B79AD">
      <w:pPr>
        <w:spacing w:before="120" w:after="0" w:line="360" w:lineRule="auto"/>
        <w:jc w:val="both"/>
        <w:rPr>
          <w:rFonts w:cs="David"/>
          <w:sz w:val="24"/>
          <w:szCs w:val="24"/>
          <w:rtl/>
        </w:rPr>
      </w:pPr>
      <w:r>
        <w:rPr>
          <w:rFonts w:cs="David" w:hint="cs"/>
          <w:sz w:val="24"/>
          <w:szCs w:val="24"/>
          <w:rtl/>
        </w:rPr>
        <w:t>כאשר קיומו של שיתוף-הפעולה</w:t>
      </w:r>
      <w:r w:rsidR="00A129DA">
        <w:rPr>
          <w:rFonts w:cs="David" w:hint="cs"/>
          <w:sz w:val="24"/>
          <w:szCs w:val="24"/>
          <w:rtl/>
        </w:rPr>
        <w:t xml:space="preserve"> </w:t>
      </w:r>
      <w:r w:rsidR="00A93486">
        <w:rPr>
          <w:rFonts w:cs="David" w:hint="cs"/>
          <w:sz w:val="24"/>
          <w:szCs w:val="24"/>
          <w:rtl/>
        </w:rPr>
        <w:t>ה</w:t>
      </w:r>
      <w:r w:rsidR="00A129DA">
        <w:rPr>
          <w:rFonts w:cs="David" w:hint="cs"/>
          <w:sz w:val="24"/>
          <w:szCs w:val="24"/>
          <w:rtl/>
        </w:rPr>
        <w:t>לגיטימי</w:t>
      </w:r>
      <w:r>
        <w:rPr>
          <w:rFonts w:cs="David" w:hint="cs"/>
          <w:sz w:val="24"/>
          <w:szCs w:val="24"/>
          <w:rtl/>
        </w:rPr>
        <w:t xml:space="preserve"> או יעילותו מחייב</w:t>
      </w:r>
      <w:r w:rsidR="00E37612">
        <w:rPr>
          <w:rFonts w:cs="David" w:hint="cs"/>
          <w:sz w:val="24"/>
          <w:szCs w:val="24"/>
          <w:rtl/>
        </w:rPr>
        <w:t>ים</w:t>
      </w:r>
      <w:r w:rsidR="00A129DA">
        <w:rPr>
          <w:rFonts w:cs="David" w:hint="cs"/>
          <w:sz w:val="24"/>
          <w:szCs w:val="24"/>
          <w:rtl/>
        </w:rPr>
        <w:t xml:space="preserve"> הסרתו של חשש מפני הנאת חינם,</w:t>
      </w:r>
      <w:r>
        <w:rPr>
          <w:rFonts w:cs="David" w:hint="cs"/>
          <w:sz w:val="24"/>
          <w:szCs w:val="24"/>
          <w:rtl/>
        </w:rPr>
        <w:t xml:space="preserve"> </w:t>
      </w:r>
      <w:r w:rsidR="006C257F">
        <w:rPr>
          <w:rFonts w:cs="David" w:hint="cs"/>
          <w:sz w:val="24"/>
          <w:szCs w:val="24"/>
          <w:rtl/>
        </w:rPr>
        <w:t>הרי ש</w:t>
      </w:r>
      <w:r w:rsidR="0040523A">
        <w:rPr>
          <w:rFonts w:cs="David" w:hint="cs"/>
          <w:sz w:val="24"/>
          <w:szCs w:val="24"/>
          <w:rtl/>
        </w:rPr>
        <w:t xml:space="preserve">כבילה </w:t>
      </w:r>
      <w:r w:rsidR="006C257F">
        <w:rPr>
          <w:rFonts w:cs="David" w:hint="cs"/>
          <w:sz w:val="24"/>
          <w:szCs w:val="24"/>
          <w:rtl/>
        </w:rPr>
        <w:t>ה</w:t>
      </w:r>
      <w:r w:rsidR="0040523A">
        <w:rPr>
          <w:rFonts w:cs="David" w:hint="cs"/>
          <w:sz w:val="24"/>
          <w:szCs w:val="24"/>
          <w:rtl/>
        </w:rPr>
        <w:t>באה לשרת מטרה זו</w:t>
      </w:r>
      <w:r w:rsidR="0032313F">
        <w:rPr>
          <w:rFonts w:cs="David" w:hint="cs"/>
          <w:sz w:val="24"/>
          <w:szCs w:val="24"/>
          <w:rtl/>
        </w:rPr>
        <w:t xml:space="preserve"> תיחשב כ</w:t>
      </w:r>
      <w:r w:rsidR="00FB286E">
        <w:rPr>
          <w:rFonts w:cs="David" w:hint="cs"/>
          <w:sz w:val="24"/>
          <w:szCs w:val="24"/>
          <w:rtl/>
        </w:rPr>
        <w:t>נחוצה למימוש עיקרו של ההסדר</w:t>
      </w:r>
      <w:r w:rsidR="0032313F">
        <w:rPr>
          <w:rFonts w:cs="David" w:hint="cs"/>
          <w:sz w:val="24"/>
          <w:szCs w:val="24"/>
          <w:rtl/>
        </w:rPr>
        <w:t xml:space="preserve"> (זאת, כמובן, בתנאי שהיא </w:t>
      </w:r>
      <w:r>
        <w:rPr>
          <w:rFonts w:cs="David" w:hint="cs"/>
          <w:sz w:val="24"/>
          <w:szCs w:val="24"/>
          <w:rtl/>
        </w:rPr>
        <w:t>עומדת גם ביתר רכיבי דרישת הנחיצות, כלומר שהיא</w:t>
      </w:r>
      <w:r w:rsidR="0032313F">
        <w:rPr>
          <w:rFonts w:cs="David" w:hint="cs"/>
          <w:sz w:val="24"/>
          <w:szCs w:val="24"/>
          <w:rtl/>
        </w:rPr>
        <w:t xml:space="preserve"> אינה רחבה מן הנדרש והיא גם </w:t>
      </w:r>
      <w:r w:rsidR="00247817">
        <w:rPr>
          <w:rFonts w:cs="David" w:hint="cs"/>
          <w:sz w:val="24"/>
          <w:szCs w:val="24"/>
          <w:rtl/>
        </w:rPr>
        <w:t>משנית למטרתו הלגיטימית של שיתוף-הפעולה).</w:t>
      </w:r>
    </w:p>
    <w:p w14:paraId="24D2A231" w14:textId="32BD7C29" w:rsidR="00247817" w:rsidRPr="006F1F5F" w:rsidRDefault="00271257" w:rsidP="00E64F61">
      <w:pPr>
        <w:spacing w:before="120" w:after="0" w:line="360" w:lineRule="auto"/>
        <w:jc w:val="both"/>
        <w:rPr>
          <w:rFonts w:cs="David"/>
          <w:sz w:val="24"/>
          <w:szCs w:val="24"/>
          <w:rtl/>
        </w:rPr>
      </w:pPr>
      <w:r>
        <w:rPr>
          <w:rFonts w:cs="David" w:hint="cs"/>
          <w:sz w:val="24"/>
          <w:szCs w:val="24"/>
          <w:rtl/>
        </w:rPr>
        <w:t xml:space="preserve">יחד </w:t>
      </w:r>
      <w:r w:rsidR="00247817">
        <w:rPr>
          <w:rFonts w:cs="David" w:hint="cs"/>
          <w:sz w:val="24"/>
          <w:szCs w:val="24"/>
          <w:rtl/>
        </w:rPr>
        <w:t>עם זאת, חשוב לעמוד על-כך ש</w:t>
      </w:r>
      <w:r>
        <w:rPr>
          <w:rFonts w:cs="David" w:hint="cs"/>
          <w:sz w:val="24"/>
          <w:szCs w:val="24"/>
          <w:rtl/>
        </w:rPr>
        <w:t xml:space="preserve">הביטוי </w:t>
      </w:r>
      <w:r>
        <w:rPr>
          <w:rFonts w:cs="David" w:hint="cs"/>
          <w:b/>
          <w:bCs/>
          <w:sz w:val="24"/>
          <w:szCs w:val="24"/>
          <w:rtl/>
        </w:rPr>
        <w:t>"הנאת חינם"</w:t>
      </w:r>
      <w:r>
        <w:rPr>
          <w:rFonts w:cs="David" w:hint="cs"/>
          <w:sz w:val="24"/>
          <w:szCs w:val="24"/>
          <w:rtl/>
        </w:rPr>
        <w:t xml:space="preserve"> אינו ביטוי קסם אשר די באזכורו כדי </w:t>
      </w:r>
      <w:r w:rsidR="00E64F61">
        <w:rPr>
          <w:rFonts w:cs="David" w:hint="cs"/>
          <w:sz w:val="24"/>
          <w:szCs w:val="24"/>
          <w:rtl/>
        </w:rPr>
        <w:t>להכשיר כבילות.</w:t>
      </w:r>
      <w:r>
        <w:rPr>
          <w:rFonts w:cs="David" w:hint="cs"/>
          <w:sz w:val="24"/>
          <w:szCs w:val="24"/>
          <w:rtl/>
        </w:rPr>
        <w:t xml:space="preserve"> למרות שהתופעה של הנאת </w:t>
      </w:r>
      <w:r w:rsidR="00B1062B">
        <w:rPr>
          <w:rFonts w:cs="David" w:hint="cs"/>
          <w:sz w:val="24"/>
          <w:szCs w:val="24"/>
          <w:rtl/>
        </w:rPr>
        <w:t xml:space="preserve">חינם </w:t>
      </w:r>
      <w:r>
        <w:rPr>
          <w:rFonts w:cs="David" w:hint="cs"/>
          <w:sz w:val="24"/>
          <w:szCs w:val="24"/>
          <w:rtl/>
        </w:rPr>
        <w:t>נחשבת כמקור לחוסר-יעילות בנסיבות מסוימות, היא תופעה נרחבת ביותר אשר בדרך-כלל אינה נחשבת כבעיה הדורשת תיקון כלשהו.</w:t>
      </w:r>
      <w:bookmarkStart w:id="25" w:name="_Ref506919289"/>
      <w:r w:rsidR="00C90FBA">
        <w:rPr>
          <w:rStyle w:val="FootnoteReference"/>
          <w:rFonts w:cs="David"/>
          <w:sz w:val="24"/>
          <w:szCs w:val="24"/>
          <w:rtl/>
        </w:rPr>
        <w:footnoteReference w:id="51"/>
      </w:r>
      <w:bookmarkEnd w:id="25"/>
      <w:r w:rsidR="006F1F5F">
        <w:rPr>
          <w:rFonts w:cs="David" w:hint="cs"/>
          <w:sz w:val="24"/>
          <w:szCs w:val="24"/>
          <w:rtl/>
        </w:rPr>
        <w:t xml:space="preserve"> לפעמים, מה שמוצג בתור </w:t>
      </w:r>
      <w:r w:rsidR="006F1F5F">
        <w:rPr>
          <w:rFonts w:cs="David" w:hint="cs"/>
          <w:b/>
          <w:bCs/>
          <w:sz w:val="24"/>
          <w:szCs w:val="24"/>
          <w:rtl/>
        </w:rPr>
        <w:t>"הנאת חינם"</w:t>
      </w:r>
      <w:r w:rsidR="006F1F5F">
        <w:rPr>
          <w:rFonts w:cs="David" w:hint="cs"/>
          <w:sz w:val="24"/>
          <w:szCs w:val="24"/>
          <w:rtl/>
        </w:rPr>
        <w:t xml:space="preserve"> אינו אלא ביטוי לתחרות עצמה.</w:t>
      </w:r>
      <w:r w:rsidR="006F1F5F">
        <w:rPr>
          <w:rStyle w:val="FootnoteReference"/>
          <w:rFonts w:cs="David"/>
          <w:sz w:val="24"/>
          <w:szCs w:val="24"/>
          <w:rtl/>
        </w:rPr>
        <w:footnoteReference w:id="52"/>
      </w:r>
    </w:p>
    <w:p w14:paraId="2C6D60CF" w14:textId="3AF08C01" w:rsidR="00D053D5" w:rsidRDefault="008B747A" w:rsidP="004D27CE">
      <w:pPr>
        <w:spacing w:before="120" w:after="0" w:line="360" w:lineRule="auto"/>
        <w:jc w:val="both"/>
        <w:rPr>
          <w:rFonts w:cs="David"/>
          <w:sz w:val="24"/>
          <w:szCs w:val="24"/>
          <w:rtl/>
        </w:rPr>
      </w:pPr>
      <w:r>
        <w:rPr>
          <w:rFonts w:cs="David" w:hint="cs"/>
          <w:sz w:val="24"/>
          <w:szCs w:val="24"/>
          <w:rtl/>
        </w:rPr>
        <w:t xml:space="preserve">הנקודה </w:t>
      </w:r>
      <w:r w:rsidR="00A064AA">
        <w:rPr>
          <w:rFonts w:cs="David" w:hint="cs"/>
          <w:sz w:val="24"/>
          <w:szCs w:val="24"/>
          <w:rtl/>
        </w:rPr>
        <w:t>ה</w:t>
      </w:r>
      <w:r>
        <w:rPr>
          <w:rFonts w:cs="David" w:hint="cs"/>
          <w:sz w:val="24"/>
          <w:szCs w:val="24"/>
          <w:rtl/>
        </w:rPr>
        <w:t xml:space="preserve">חשובה לענייננו היא זו: כבילה שנועדה להסיר חשש מפני הנאת חינם עשויה להיחשב </w:t>
      </w:r>
      <w:r w:rsidR="00E64F61">
        <w:rPr>
          <w:rFonts w:cs="David" w:hint="cs"/>
          <w:sz w:val="24"/>
          <w:szCs w:val="24"/>
          <w:rtl/>
        </w:rPr>
        <w:t xml:space="preserve">כנחוצה למימוש עיקרו של </w:t>
      </w:r>
      <w:r w:rsidR="00D10316">
        <w:rPr>
          <w:rFonts w:cs="David" w:hint="cs"/>
          <w:sz w:val="24"/>
          <w:szCs w:val="24"/>
          <w:rtl/>
        </w:rPr>
        <w:t>ה</w:t>
      </w:r>
      <w:r w:rsidR="00E64F61">
        <w:rPr>
          <w:rFonts w:cs="David" w:hint="cs"/>
          <w:sz w:val="24"/>
          <w:szCs w:val="24"/>
          <w:rtl/>
        </w:rPr>
        <w:t>הסדר</w:t>
      </w:r>
      <w:r>
        <w:rPr>
          <w:rFonts w:cs="David" w:hint="cs"/>
          <w:sz w:val="24"/>
          <w:szCs w:val="24"/>
          <w:rtl/>
        </w:rPr>
        <w:t xml:space="preserve"> </w:t>
      </w:r>
      <w:r w:rsidR="00E64F61">
        <w:rPr>
          <w:rFonts w:cs="David" w:hint="cs"/>
          <w:sz w:val="24"/>
          <w:szCs w:val="24"/>
          <w:rtl/>
        </w:rPr>
        <w:t xml:space="preserve">רק </w:t>
      </w:r>
      <w:r>
        <w:rPr>
          <w:rFonts w:cs="David" w:hint="cs"/>
          <w:sz w:val="24"/>
          <w:szCs w:val="24"/>
          <w:rtl/>
        </w:rPr>
        <w:t xml:space="preserve">כאשר </w:t>
      </w:r>
      <w:r w:rsidR="002411EE">
        <w:rPr>
          <w:rFonts w:cs="David" w:hint="cs"/>
          <w:sz w:val="24"/>
          <w:szCs w:val="24"/>
          <w:rtl/>
        </w:rPr>
        <w:t>ה</w:t>
      </w:r>
      <w:r>
        <w:rPr>
          <w:rFonts w:cs="David" w:hint="cs"/>
          <w:sz w:val="24"/>
          <w:szCs w:val="24"/>
          <w:rtl/>
        </w:rPr>
        <w:t>חשש להנאת חינם מתעורר אגב שיתוף-</w:t>
      </w:r>
      <w:r w:rsidR="00E64F61">
        <w:rPr>
          <w:rFonts w:cs="David" w:hint="cs"/>
          <w:sz w:val="24"/>
          <w:szCs w:val="24"/>
          <w:rtl/>
        </w:rPr>
        <w:t>ה</w:t>
      </w:r>
      <w:r>
        <w:rPr>
          <w:rFonts w:cs="David" w:hint="cs"/>
          <w:sz w:val="24"/>
          <w:szCs w:val="24"/>
          <w:rtl/>
        </w:rPr>
        <w:t xml:space="preserve">פעולה </w:t>
      </w:r>
      <w:r w:rsidR="00E64F61">
        <w:rPr>
          <w:rFonts w:cs="David" w:hint="cs"/>
          <w:sz w:val="24"/>
          <w:szCs w:val="24"/>
          <w:rtl/>
        </w:rPr>
        <w:t xml:space="preserve">הלגיטימי שהוא עיקרו של </w:t>
      </w:r>
      <w:r w:rsidR="00AD21C0">
        <w:rPr>
          <w:rFonts w:cs="David" w:hint="cs"/>
          <w:sz w:val="24"/>
          <w:szCs w:val="24"/>
          <w:rtl/>
        </w:rPr>
        <w:t xml:space="preserve">אותו </w:t>
      </w:r>
      <w:r w:rsidR="00E64F61">
        <w:rPr>
          <w:rFonts w:cs="David" w:hint="cs"/>
          <w:sz w:val="24"/>
          <w:szCs w:val="24"/>
          <w:rtl/>
        </w:rPr>
        <w:t>הסדר</w:t>
      </w:r>
      <w:r>
        <w:rPr>
          <w:rFonts w:cs="David" w:hint="cs"/>
          <w:sz w:val="24"/>
          <w:szCs w:val="24"/>
          <w:rtl/>
        </w:rPr>
        <w:t xml:space="preserve">, והסרתו של החשש </w:t>
      </w:r>
      <w:r w:rsidR="00E64F61">
        <w:rPr>
          <w:rFonts w:cs="David" w:hint="cs"/>
          <w:sz w:val="24"/>
          <w:szCs w:val="24"/>
          <w:rtl/>
        </w:rPr>
        <w:t xml:space="preserve">אכן </w:t>
      </w:r>
      <w:r w:rsidR="009707D3">
        <w:rPr>
          <w:rFonts w:cs="David" w:hint="cs"/>
          <w:sz w:val="24"/>
          <w:szCs w:val="24"/>
          <w:rtl/>
        </w:rPr>
        <w:t>נחוצה</w:t>
      </w:r>
      <w:r>
        <w:rPr>
          <w:rFonts w:cs="David" w:hint="cs"/>
          <w:sz w:val="24"/>
          <w:szCs w:val="24"/>
          <w:rtl/>
        </w:rPr>
        <w:t xml:space="preserve"> </w:t>
      </w:r>
      <w:r w:rsidR="007C5D7B">
        <w:rPr>
          <w:rFonts w:cs="David" w:hint="cs"/>
          <w:sz w:val="24"/>
          <w:szCs w:val="24"/>
          <w:rtl/>
        </w:rPr>
        <w:t>לשם הצלחת שיתוף-</w:t>
      </w:r>
      <w:r w:rsidR="00E64F61">
        <w:rPr>
          <w:rFonts w:cs="David" w:hint="cs"/>
          <w:sz w:val="24"/>
          <w:szCs w:val="24"/>
          <w:rtl/>
        </w:rPr>
        <w:lastRenderedPageBreak/>
        <w:t>ה</w:t>
      </w:r>
      <w:r w:rsidR="007C5D7B">
        <w:rPr>
          <w:rFonts w:cs="David" w:hint="cs"/>
          <w:sz w:val="24"/>
          <w:szCs w:val="24"/>
          <w:rtl/>
        </w:rPr>
        <w:t>פעולה.</w:t>
      </w:r>
      <w:r w:rsidR="00A064AA">
        <w:rPr>
          <w:rFonts w:cs="David" w:hint="cs"/>
          <w:sz w:val="24"/>
          <w:szCs w:val="24"/>
          <w:rtl/>
        </w:rPr>
        <w:t xml:space="preserve"> </w:t>
      </w:r>
      <w:r w:rsidR="00A9531F">
        <w:rPr>
          <w:rFonts w:cs="David" w:hint="cs"/>
          <w:sz w:val="24"/>
          <w:szCs w:val="24"/>
          <w:rtl/>
        </w:rPr>
        <w:t xml:space="preserve">לעומת זאת, </w:t>
      </w:r>
      <w:r w:rsidR="00F22D46">
        <w:rPr>
          <w:rFonts w:cs="David" w:hint="cs"/>
          <w:sz w:val="24"/>
          <w:szCs w:val="24"/>
          <w:rtl/>
        </w:rPr>
        <w:t>הסדר</w:t>
      </w:r>
      <w:r w:rsidR="00F46F09">
        <w:rPr>
          <w:rFonts w:cs="David" w:hint="cs"/>
          <w:sz w:val="24"/>
          <w:szCs w:val="24"/>
          <w:rtl/>
        </w:rPr>
        <w:t xml:space="preserve"> בין מתחרים</w:t>
      </w:r>
      <w:r w:rsidR="00F22D46">
        <w:rPr>
          <w:rFonts w:cs="David" w:hint="cs"/>
          <w:sz w:val="24"/>
          <w:szCs w:val="24"/>
          <w:rtl/>
        </w:rPr>
        <w:t xml:space="preserve"> ל</w:t>
      </w:r>
      <w:r w:rsidR="00F46F09">
        <w:rPr>
          <w:rFonts w:cs="David" w:hint="cs"/>
          <w:sz w:val="24"/>
          <w:szCs w:val="24"/>
          <w:rtl/>
        </w:rPr>
        <w:t>הימנע</w:t>
      </w:r>
      <w:r w:rsidR="00A9531F">
        <w:rPr>
          <w:rFonts w:cs="David" w:hint="cs"/>
          <w:sz w:val="24"/>
          <w:szCs w:val="24"/>
          <w:rtl/>
        </w:rPr>
        <w:t xml:space="preserve"> </w:t>
      </w:r>
      <w:r w:rsidR="00F46F09">
        <w:rPr>
          <w:rFonts w:cs="David" w:hint="cs"/>
          <w:sz w:val="24"/>
          <w:szCs w:val="24"/>
          <w:rtl/>
        </w:rPr>
        <w:t>מ</w:t>
      </w:r>
      <w:r w:rsidR="00A9531F">
        <w:rPr>
          <w:rFonts w:cs="David" w:hint="cs"/>
          <w:sz w:val="24"/>
          <w:szCs w:val="24"/>
          <w:rtl/>
        </w:rPr>
        <w:t>הנאת חינם</w:t>
      </w:r>
      <w:r w:rsidR="00F46F09">
        <w:rPr>
          <w:rFonts w:cs="David" w:hint="cs"/>
          <w:sz w:val="24"/>
          <w:szCs w:val="24"/>
          <w:rtl/>
        </w:rPr>
        <w:t xml:space="preserve"> </w:t>
      </w:r>
      <w:r w:rsidR="004D27CE">
        <w:rPr>
          <w:rFonts w:cs="David" w:hint="cs"/>
          <w:sz w:val="24"/>
          <w:szCs w:val="24"/>
          <w:rtl/>
        </w:rPr>
        <w:t>זה על חשבון זה</w:t>
      </w:r>
      <w:r w:rsidR="00F46F09">
        <w:rPr>
          <w:rFonts w:cs="David" w:hint="cs"/>
          <w:sz w:val="24"/>
          <w:szCs w:val="24"/>
          <w:rtl/>
        </w:rPr>
        <w:t xml:space="preserve">, </w:t>
      </w:r>
      <w:r w:rsidR="00FD0185">
        <w:rPr>
          <w:rFonts w:cs="David" w:hint="cs"/>
          <w:sz w:val="24"/>
          <w:szCs w:val="24"/>
          <w:rtl/>
        </w:rPr>
        <w:t xml:space="preserve">שלא במסגרת </w:t>
      </w:r>
      <w:r w:rsidR="00A9531F">
        <w:rPr>
          <w:rFonts w:cs="David" w:hint="cs"/>
          <w:sz w:val="24"/>
          <w:szCs w:val="24"/>
          <w:rtl/>
        </w:rPr>
        <w:t>שי</w:t>
      </w:r>
      <w:r w:rsidR="0048491F">
        <w:rPr>
          <w:rFonts w:cs="David" w:hint="cs"/>
          <w:sz w:val="24"/>
          <w:szCs w:val="24"/>
          <w:rtl/>
        </w:rPr>
        <w:t>ת</w:t>
      </w:r>
      <w:r w:rsidR="00A9531F">
        <w:rPr>
          <w:rFonts w:cs="David" w:hint="cs"/>
          <w:sz w:val="24"/>
          <w:szCs w:val="24"/>
          <w:rtl/>
        </w:rPr>
        <w:t>וף-פעולה למטרה לגיטימית</w:t>
      </w:r>
      <w:r w:rsidR="00F22D46">
        <w:rPr>
          <w:rFonts w:cs="David" w:hint="cs"/>
          <w:sz w:val="24"/>
          <w:szCs w:val="24"/>
          <w:rtl/>
        </w:rPr>
        <w:t xml:space="preserve"> </w:t>
      </w:r>
      <w:r w:rsidR="0092466A">
        <w:rPr>
          <w:rFonts w:cs="David"/>
          <w:sz w:val="24"/>
          <w:szCs w:val="24"/>
          <w:rtl/>
        </w:rPr>
        <w:softHyphen/>
        <w:t>–</w:t>
      </w:r>
      <w:r w:rsidR="0092466A">
        <w:rPr>
          <w:rFonts w:cs="David" w:hint="cs"/>
          <w:sz w:val="24"/>
          <w:szCs w:val="24"/>
          <w:rtl/>
        </w:rPr>
        <w:t xml:space="preserve"> </w:t>
      </w:r>
      <w:r w:rsidR="00F22D46">
        <w:rPr>
          <w:rFonts w:cs="David" w:hint="cs"/>
          <w:sz w:val="24"/>
          <w:szCs w:val="24"/>
          <w:rtl/>
        </w:rPr>
        <w:t>הוא הסדר</w:t>
      </w:r>
      <w:r w:rsidR="003D51A1">
        <w:rPr>
          <w:rFonts w:cs="David" w:hint="cs"/>
          <w:sz w:val="24"/>
          <w:szCs w:val="24"/>
          <w:rtl/>
        </w:rPr>
        <w:t xml:space="preserve"> שעיקרו בהפחתת התחרות או במניעתה</w:t>
      </w:r>
      <w:r w:rsidR="0019234D">
        <w:rPr>
          <w:rFonts w:cs="David" w:hint="cs"/>
          <w:sz w:val="24"/>
          <w:szCs w:val="24"/>
          <w:rtl/>
        </w:rPr>
        <w:t>.</w:t>
      </w:r>
      <w:r w:rsidR="00F106CE">
        <w:rPr>
          <w:rStyle w:val="FootnoteReference"/>
          <w:rFonts w:cs="David"/>
          <w:sz w:val="24"/>
          <w:szCs w:val="24"/>
          <w:rtl/>
        </w:rPr>
        <w:footnoteReference w:id="53"/>
      </w:r>
    </w:p>
    <w:p w14:paraId="2AF8314F" w14:textId="65FEC97D" w:rsidR="00AE58C2" w:rsidRPr="009D78E7" w:rsidRDefault="003D51A1" w:rsidP="009D78E7">
      <w:pPr>
        <w:pStyle w:val="Heading3"/>
        <w:rPr>
          <w:rtl/>
        </w:rPr>
      </w:pPr>
      <w:r w:rsidRPr="009D78E7">
        <w:rPr>
          <w:u w:val="none"/>
        </w:rPr>
        <w:t>IV</w:t>
      </w:r>
      <w:r w:rsidRPr="009D78E7">
        <w:rPr>
          <w:rFonts w:hint="cs"/>
          <w:u w:val="none"/>
          <w:rtl/>
        </w:rPr>
        <w:t>.ג</w:t>
      </w:r>
      <w:r w:rsidR="00CB0935" w:rsidRPr="009D78E7">
        <w:rPr>
          <w:rFonts w:hint="cs"/>
          <w:u w:val="none"/>
          <w:rtl/>
        </w:rPr>
        <w:tab/>
      </w:r>
      <w:r w:rsidR="00AE58C2" w:rsidRPr="009D78E7">
        <w:rPr>
          <w:rFonts w:hint="cs"/>
          <w:rtl/>
        </w:rPr>
        <w:t xml:space="preserve">הדרישה שהכבילה </w:t>
      </w:r>
      <w:r w:rsidR="009D5498" w:rsidRPr="009D78E7">
        <w:rPr>
          <w:rFonts w:hint="cs"/>
          <w:rtl/>
        </w:rPr>
        <w:t>לא תהיה</w:t>
      </w:r>
      <w:r w:rsidR="00AE58C2" w:rsidRPr="009D78E7">
        <w:rPr>
          <w:rFonts w:hint="cs"/>
          <w:rtl/>
        </w:rPr>
        <w:t xml:space="preserve"> רחבה מן הנדרש</w:t>
      </w:r>
    </w:p>
    <w:p w14:paraId="03878FFE" w14:textId="42980EC9" w:rsidR="001113F5" w:rsidRDefault="00C03877" w:rsidP="00017175">
      <w:pPr>
        <w:spacing w:before="120" w:after="0" w:line="360" w:lineRule="auto"/>
        <w:jc w:val="both"/>
        <w:rPr>
          <w:rFonts w:cs="David"/>
          <w:sz w:val="24"/>
          <w:szCs w:val="24"/>
          <w:rtl/>
        </w:rPr>
      </w:pPr>
      <w:r>
        <w:rPr>
          <w:rFonts w:cs="David" w:hint="cs"/>
          <w:sz w:val="24"/>
          <w:szCs w:val="24"/>
          <w:rtl/>
        </w:rPr>
        <w:t xml:space="preserve">על-מנת שכבילה </w:t>
      </w:r>
      <w:r w:rsidR="00017175">
        <w:rPr>
          <w:rFonts w:cs="David" w:hint="cs"/>
          <w:sz w:val="24"/>
          <w:szCs w:val="24"/>
          <w:rtl/>
        </w:rPr>
        <w:t xml:space="preserve">תעמוד בדרישה של סע' 14(א)(2) סיפא, </w:t>
      </w:r>
      <w:r>
        <w:rPr>
          <w:rFonts w:cs="David" w:hint="cs"/>
          <w:sz w:val="24"/>
          <w:szCs w:val="24"/>
          <w:rtl/>
        </w:rPr>
        <w:t xml:space="preserve"> אסור שהיא תהיה רחבה יותר מן הדרוש לשם מימוש שיתוף-הפעולה הלגיטימי </w:t>
      </w:r>
      <w:r w:rsidR="00017175">
        <w:rPr>
          <w:rFonts w:cs="David" w:hint="cs"/>
          <w:sz w:val="24"/>
          <w:szCs w:val="24"/>
          <w:rtl/>
        </w:rPr>
        <w:t>שהוא עיקרו של</w:t>
      </w:r>
      <w:r>
        <w:rPr>
          <w:rFonts w:cs="David" w:hint="cs"/>
          <w:sz w:val="24"/>
          <w:szCs w:val="24"/>
          <w:rtl/>
        </w:rPr>
        <w:t xml:space="preserve"> ההסדר.</w:t>
      </w:r>
      <w:r>
        <w:rPr>
          <w:rStyle w:val="FootnoteReference"/>
          <w:rFonts w:cs="David"/>
          <w:sz w:val="24"/>
          <w:szCs w:val="24"/>
          <w:rtl/>
        </w:rPr>
        <w:footnoteReference w:id="54"/>
      </w:r>
      <w:r w:rsidR="002D02D6">
        <w:rPr>
          <w:rFonts w:cs="David" w:hint="cs"/>
          <w:sz w:val="24"/>
          <w:szCs w:val="24"/>
          <w:rtl/>
        </w:rPr>
        <w:t xml:space="preserve"> </w:t>
      </w:r>
      <w:r w:rsidR="00044AF0">
        <w:rPr>
          <w:rFonts w:cs="David" w:hint="cs"/>
          <w:sz w:val="24"/>
          <w:szCs w:val="24"/>
          <w:rtl/>
        </w:rPr>
        <w:t xml:space="preserve">לעניין זה </w:t>
      </w:r>
      <w:r w:rsidR="007568E5">
        <w:rPr>
          <w:rFonts w:cs="David" w:hint="cs"/>
          <w:sz w:val="24"/>
          <w:szCs w:val="24"/>
          <w:rtl/>
        </w:rPr>
        <w:t>ראו את דברי יו"ר ועדת הכלכלה של הכנסת בפני המלאה:</w:t>
      </w:r>
      <w:r w:rsidR="007568E5">
        <w:rPr>
          <w:rStyle w:val="FootnoteReference"/>
          <w:rFonts w:cs="David"/>
          <w:sz w:val="24"/>
          <w:szCs w:val="24"/>
          <w:rtl/>
        </w:rPr>
        <w:footnoteReference w:id="55"/>
      </w:r>
      <w:r w:rsidR="007568E5">
        <w:rPr>
          <w:rFonts w:cs="David" w:hint="cs"/>
          <w:sz w:val="24"/>
          <w:szCs w:val="24"/>
          <w:rtl/>
        </w:rPr>
        <w:t xml:space="preserve"> </w:t>
      </w:r>
    </w:p>
    <w:p w14:paraId="4A433BB6" w14:textId="1FE00317" w:rsidR="001113F5" w:rsidRPr="00982E88" w:rsidRDefault="00982E88" w:rsidP="009557D4">
      <w:pPr>
        <w:pStyle w:val="Quote"/>
        <w:rPr>
          <w:rtl/>
        </w:rPr>
      </w:pPr>
      <w:r>
        <w:rPr>
          <w:rFonts w:hint="cs"/>
          <w:rtl/>
        </w:rPr>
        <w:t xml:space="preserve">המקרים הראויים לפטור הם הסכמים שהגבלת התחרות בהם היא נגררת, טפלה להסדר לגיטימי ומועילה לעסקים ולתחרות, </w:t>
      </w:r>
      <w:r>
        <w:rPr>
          <w:rFonts w:hint="cs"/>
          <w:u w:val="single"/>
          <w:rtl/>
        </w:rPr>
        <w:t>וכמו כן היא חייבת להיות מידתית, פרופורציונלית לנדרש ממהותו של ההסכם שבו מדובר</w:t>
      </w:r>
      <w:r>
        <w:rPr>
          <w:rFonts w:hint="cs"/>
          <w:rtl/>
        </w:rPr>
        <w:t xml:space="preserve">. </w:t>
      </w:r>
      <w:r w:rsidR="001113F5" w:rsidRPr="00982E88">
        <w:rPr>
          <w:rFonts w:hint="cs"/>
          <w:rtl/>
        </w:rPr>
        <w:t>לדוגמה</w:t>
      </w:r>
      <w:r w:rsidR="001113F5" w:rsidRPr="00982E88">
        <w:rPr>
          <w:rtl/>
        </w:rPr>
        <w:t xml:space="preserve">, </w:t>
      </w:r>
      <w:r w:rsidR="001113F5" w:rsidRPr="00982E88">
        <w:rPr>
          <w:rFonts w:hint="cs"/>
          <w:rtl/>
        </w:rPr>
        <w:t>שותפות</w:t>
      </w:r>
      <w:r w:rsidR="001113F5" w:rsidRPr="00982E88">
        <w:rPr>
          <w:rtl/>
        </w:rPr>
        <w:t xml:space="preserve"> </w:t>
      </w:r>
      <w:r w:rsidR="001113F5" w:rsidRPr="00982E88">
        <w:rPr>
          <w:rFonts w:hint="cs"/>
          <w:rtl/>
        </w:rPr>
        <w:t>בפיתוח</w:t>
      </w:r>
      <w:r w:rsidR="001113F5" w:rsidRPr="00982E88">
        <w:rPr>
          <w:rtl/>
        </w:rPr>
        <w:t xml:space="preserve"> </w:t>
      </w:r>
      <w:r w:rsidR="001113F5" w:rsidRPr="00982E88">
        <w:rPr>
          <w:rFonts w:hint="cs"/>
          <w:rtl/>
        </w:rPr>
        <w:t>מוצר</w:t>
      </w:r>
      <w:r w:rsidR="001113F5" w:rsidRPr="00982E88">
        <w:rPr>
          <w:rtl/>
        </w:rPr>
        <w:t xml:space="preserve"> </w:t>
      </w:r>
      <w:r w:rsidR="001113F5" w:rsidRPr="00982E88">
        <w:rPr>
          <w:rFonts w:hint="cs"/>
          <w:rtl/>
        </w:rPr>
        <w:t>חדש</w:t>
      </w:r>
      <w:r w:rsidR="001113F5" w:rsidRPr="00982E88">
        <w:rPr>
          <w:rtl/>
        </w:rPr>
        <w:t xml:space="preserve"> </w:t>
      </w:r>
      <w:r w:rsidR="001113F5" w:rsidRPr="00982E88">
        <w:rPr>
          <w:rFonts w:hint="cs"/>
          <w:rtl/>
        </w:rPr>
        <w:t>בין</w:t>
      </w:r>
      <w:r w:rsidR="001113F5" w:rsidRPr="00982E88">
        <w:rPr>
          <w:rtl/>
        </w:rPr>
        <w:t xml:space="preserve"> </w:t>
      </w:r>
      <w:r w:rsidR="001113F5" w:rsidRPr="00982E88">
        <w:rPr>
          <w:rFonts w:hint="cs"/>
          <w:rtl/>
        </w:rPr>
        <w:t>שתי</w:t>
      </w:r>
      <w:r w:rsidR="001113F5" w:rsidRPr="00982E88">
        <w:rPr>
          <w:rtl/>
        </w:rPr>
        <w:t xml:space="preserve"> </w:t>
      </w:r>
      <w:r w:rsidR="001113F5" w:rsidRPr="00982E88">
        <w:rPr>
          <w:rFonts w:hint="cs"/>
          <w:rtl/>
        </w:rPr>
        <w:t>חברות</w:t>
      </w:r>
      <w:r w:rsidR="001113F5" w:rsidRPr="00982E88">
        <w:rPr>
          <w:rtl/>
        </w:rPr>
        <w:t xml:space="preserve"> </w:t>
      </w:r>
      <w:r w:rsidR="001113F5" w:rsidRPr="00982E88">
        <w:rPr>
          <w:rFonts w:hint="cs"/>
          <w:rtl/>
        </w:rPr>
        <w:t>תקשורת</w:t>
      </w:r>
      <w:r w:rsidR="001113F5" w:rsidRPr="00982E88">
        <w:rPr>
          <w:rtl/>
        </w:rPr>
        <w:t xml:space="preserve"> </w:t>
      </w:r>
      <w:r w:rsidR="001113F5" w:rsidRPr="00982E88">
        <w:rPr>
          <w:rFonts w:hint="cs"/>
          <w:rtl/>
        </w:rPr>
        <w:t>מצדיקה</w:t>
      </w:r>
      <w:r w:rsidR="001113F5" w:rsidRPr="00982E88">
        <w:rPr>
          <w:rtl/>
        </w:rPr>
        <w:t xml:space="preserve"> </w:t>
      </w:r>
      <w:r w:rsidR="001113F5" w:rsidRPr="00982E88">
        <w:rPr>
          <w:rFonts w:hint="cs"/>
          <w:rtl/>
        </w:rPr>
        <w:t>לעתים</w:t>
      </w:r>
      <w:r w:rsidR="001113F5" w:rsidRPr="00982E88">
        <w:rPr>
          <w:rtl/>
        </w:rPr>
        <w:t xml:space="preserve"> </w:t>
      </w:r>
      <w:r w:rsidR="001113F5" w:rsidRPr="00982E88">
        <w:rPr>
          <w:rFonts w:hint="cs"/>
          <w:rtl/>
        </w:rPr>
        <w:t>הוראה</w:t>
      </w:r>
      <w:r w:rsidR="001113F5" w:rsidRPr="00982E88">
        <w:rPr>
          <w:rtl/>
        </w:rPr>
        <w:t xml:space="preserve"> </w:t>
      </w:r>
      <w:r w:rsidR="001113F5" w:rsidRPr="00982E88">
        <w:rPr>
          <w:rFonts w:hint="cs"/>
          <w:rtl/>
        </w:rPr>
        <w:t>שהשותפים</w:t>
      </w:r>
      <w:r w:rsidR="001113F5" w:rsidRPr="00982E88">
        <w:rPr>
          <w:rtl/>
        </w:rPr>
        <w:t xml:space="preserve"> </w:t>
      </w:r>
      <w:r w:rsidR="001113F5" w:rsidRPr="00982E88">
        <w:rPr>
          <w:rFonts w:hint="cs"/>
          <w:rtl/>
        </w:rPr>
        <w:t>לא</w:t>
      </w:r>
      <w:r w:rsidR="001113F5" w:rsidRPr="00982E88">
        <w:rPr>
          <w:rtl/>
        </w:rPr>
        <w:t xml:space="preserve"> </w:t>
      </w:r>
      <w:r w:rsidR="001113F5" w:rsidRPr="00982E88">
        <w:rPr>
          <w:rFonts w:hint="cs"/>
          <w:rtl/>
        </w:rPr>
        <w:t>יתחרו</w:t>
      </w:r>
      <w:r w:rsidR="001113F5" w:rsidRPr="00982E88">
        <w:rPr>
          <w:rtl/>
        </w:rPr>
        <w:t xml:space="preserve"> </w:t>
      </w:r>
      <w:r w:rsidR="001113F5" w:rsidRPr="00982E88">
        <w:rPr>
          <w:rFonts w:hint="cs"/>
          <w:rtl/>
        </w:rPr>
        <w:t>בשותפות</w:t>
      </w:r>
      <w:r w:rsidR="001113F5" w:rsidRPr="00982E88">
        <w:rPr>
          <w:rtl/>
        </w:rPr>
        <w:t xml:space="preserve"> </w:t>
      </w:r>
      <w:r w:rsidR="001113F5" w:rsidRPr="00982E88">
        <w:rPr>
          <w:rFonts w:hint="cs"/>
          <w:rtl/>
        </w:rPr>
        <w:t>שלהם</w:t>
      </w:r>
      <w:r w:rsidR="001113F5" w:rsidRPr="00982E88">
        <w:rPr>
          <w:rtl/>
        </w:rPr>
        <w:t xml:space="preserve"> </w:t>
      </w:r>
      <w:r w:rsidR="001113F5" w:rsidRPr="00982E88">
        <w:rPr>
          <w:rFonts w:hint="cs"/>
          <w:rtl/>
        </w:rPr>
        <w:t>מחוץ</w:t>
      </w:r>
      <w:r w:rsidR="001113F5" w:rsidRPr="00982E88">
        <w:rPr>
          <w:rtl/>
        </w:rPr>
        <w:t xml:space="preserve"> </w:t>
      </w:r>
      <w:r w:rsidR="001113F5" w:rsidRPr="00982E88">
        <w:rPr>
          <w:rFonts w:hint="cs"/>
          <w:rtl/>
        </w:rPr>
        <w:t>לה</w:t>
      </w:r>
      <w:r w:rsidR="001113F5" w:rsidRPr="00982E88">
        <w:rPr>
          <w:rtl/>
        </w:rPr>
        <w:t xml:space="preserve">, </w:t>
      </w:r>
      <w:r w:rsidR="001113F5" w:rsidRPr="00982E88">
        <w:rPr>
          <w:rFonts w:hint="cs"/>
          <w:rtl/>
        </w:rPr>
        <w:t>אך</w:t>
      </w:r>
      <w:r w:rsidR="001113F5" w:rsidRPr="00982E88">
        <w:rPr>
          <w:rtl/>
        </w:rPr>
        <w:t xml:space="preserve"> </w:t>
      </w:r>
      <w:r w:rsidR="001113F5" w:rsidRPr="00982E88">
        <w:rPr>
          <w:rFonts w:hint="cs"/>
          <w:rtl/>
        </w:rPr>
        <w:t>אינה</w:t>
      </w:r>
      <w:r w:rsidR="001113F5" w:rsidRPr="00982E88">
        <w:rPr>
          <w:rtl/>
        </w:rPr>
        <w:t xml:space="preserve"> </w:t>
      </w:r>
      <w:r w:rsidR="001113F5" w:rsidRPr="00982E88">
        <w:rPr>
          <w:rFonts w:hint="cs"/>
          <w:rtl/>
        </w:rPr>
        <w:t>מצדיקה</w:t>
      </w:r>
      <w:r w:rsidR="001113F5" w:rsidRPr="00982E88">
        <w:rPr>
          <w:rtl/>
        </w:rPr>
        <w:t xml:space="preserve"> </w:t>
      </w:r>
      <w:r w:rsidR="001113F5" w:rsidRPr="00982E88">
        <w:rPr>
          <w:rFonts w:hint="cs"/>
          <w:rtl/>
        </w:rPr>
        <w:t>בשום</w:t>
      </w:r>
      <w:r w:rsidR="001113F5" w:rsidRPr="00982E88">
        <w:rPr>
          <w:rtl/>
        </w:rPr>
        <w:t xml:space="preserve"> </w:t>
      </w:r>
      <w:r w:rsidR="001113F5" w:rsidRPr="00982E88">
        <w:rPr>
          <w:rFonts w:hint="cs"/>
          <w:rtl/>
        </w:rPr>
        <w:t>פנים</w:t>
      </w:r>
      <w:r w:rsidR="001113F5" w:rsidRPr="00982E88">
        <w:rPr>
          <w:rtl/>
        </w:rPr>
        <w:t xml:space="preserve"> </w:t>
      </w:r>
      <w:r w:rsidR="001113F5" w:rsidRPr="00982E88">
        <w:rPr>
          <w:rFonts w:hint="cs"/>
          <w:rtl/>
        </w:rPr>
        <w:t>תיאום</w:t>
      </w:r>
      <w:r w:rsidR="001113F5" w:rsidRPr="00982E88">
        <w:rPr>
          <w:rtl/>
        </w:rPr>
        <w:t xml:space="preserve"> </w:t>
      </w:r>
      <w:r w:rsidR="001113F5" w:rsidRPr="00982E88">
        <w:rPr>
          <w:rFonts w:hint="cs"/>
          <w:rtl/>
        </w:rPr>
        <w:t>בין</w:t>
      </w:r>
      <w:r w:rsidR="001113F5" w:rsidRPr="00982E88">
        <w:rPr>
          <w:rtl/>
        </w:rPr>
        <w:t xml:space="preserve"> </w:t>
      </w:r>
      <w:r w:rsidR="001113F5" w:rsidRPr="00982E88">
        <w:rPr>
          <w:rFonts w:hint="cs"/>
          <w:rtl/>
        </w:rPr>
        <w:t>השותפים</w:t>
      </w:r>
      <w:r w:rsidR="001113F5" w:rsidRPr="00982E88">
        <w:rPr>
          <w:rtl/>
        </w:rPr>
        <w:t xml:space="preserve"> </w:t>
      </w:r>
      <w:r w:rsidR="001113F5" w:rsidRPr="00982E88">
        <w:rPr>
          <w:rFonts w:hint="cs"/>
          <w:rtl/>
        </w:rPr>
        <w:t>של</w:t>
      </w:r>
      <w:r w:rsidR="001113F5" w:rsidRPr="00982E88">
        <w:rPr>
          <w:rtl/>
        </w:rPr>
        <w:t xml:space="preserve"> </w:t>
      </w:r>
      <w:r w:rsidR="001113F5" w:rsidRPr="00982E88">
        <w:rPr>
          <w:rFonts w:hint="cs"/>
          <w:rtl/>
        </w:rPr>
        <w:t>מחירי</w:t>
      </w:r>
      <w:r w:rsidR="001113F5" w:rsidRPr="00982E88">
        <w:rPr>
          <w:rtl/>
        </w:rPr>
        <w:t xml:space="preserve"> </w:t>
      </w:r>
      <w:r w:rsidR="001113F5" w:rsidRPr="00982E88">
        <w:rPr>
          <w:rFonts w:hint="cs"/>
          <w:rtl/>
        </w:rPr>
        <w:t>שאר</w:t>
      </w:r>
      <w:r w:rsidR="001113F5" w:rsidRPr="00982E88">
        <w:rPr>
          <w:rtl/>
        </w:rPr>
        <w:t xml:space="preserve"> </w:t>
      </w:r>
      <w:r w:rsidR="001113F5" w:rsidRPr="00982E88">
        <w:rPr>
          <w:rFonts w:hint="cs"/>
          <w:rtl/>
        </w:rPr>
        <w:t>המוצרים</w:t>
      </w:r>
      <w:r w:rsidR="001113F5" w:rsidRPr="00982E88">
        <w:rPr>
          <w:rtl/>
        </w:rPr>
        <w:t xml:space="preserve"> </w:t>
      </w:r>
      <w:r w:rsidR="001113F5" w:rsidRPr="00982E88">
        <w:rPr>
          <w:rFonts w:hint="cs"/>
          <w:rtl/>
        </w:rPr>
        <w:t>האחרים</w:t>
      </w:r>
      <w:r w:rsidR="001113F5" w:rsidRPr="00982E88">
        <w:rPr>
          <w:rtl/>
        </w:rPr>
        <w:t xml:space="preserve"> </w:t>
      </w:r>
      <w:r w:rsidR="001113F5" w:rsidRPr="00982E88">
        <w:rPr>
          <w:rFonts w:hint="cs"/>
          <w:rtl/>
        </w:rPr>
        <w:t>ששתי</w:t>
      </w:r>
      <w:r w:rsidR="001113F5" w:rsidRPr="00982E88">
        <w:rPr>
          <w:rtl/>
        </w:rPr>
        <w:t xml:space="preserve"> </w:t>
      </w:r>
      <w:r w:rsidR="001113F5" w:rsidRPr="00982E88">
        <w:rPr>
          <w:rFonts w:hint="cs"/>
          <w:rtl/>
        </w:rPr>
        <w:t>החברות</w:t>
      </w:r>
      <w:r w:rsidR="001113F5" w:rsidRPr="00982E88">
        <w:rPr>
          <w:rtl/>
        </w:rPr>
        <w:t xml:space="preserve"> </w:t>
      </w:r>
      <w:r w:rsidR="001113F5" w:rsidRPr="00982E88">
        <w:rPr>
          <w:rFonts w:hint="cs"/>
          <w:rtl/>
        </w:rPr>
        <w:t>האלה</w:t>
      </w:r>
      <w:r w:rsidR="001113F5" w:rsidRPr="00982E88">
        <w:rPr>
          <w:rtl/>
        </w:rPr>
        <w:t xml:space="preserve"> </w:t>
      </w:r>
      <w:r w:rsidR="001113F5" w:rsidRPr="00982E88">
        <w:rPr>
          <w:rFonts w:hint="cs"/>
          <w:rtl/>
        </w:rPr>
        <w:t>משווקות</w:t>
      </w:r>
      <w:r w:rsidR="001113F5" w:rsidRPr="00982E88">
        <w:rPr>
          <w:rtl/>
        </w:rPr>
        <w:t xml:space="preserve"> </w:t>
      </w:r>
      <w:r w:rsidR="001113F5" w:rsidRPr="00982E88">
        <w:rPr>
          <w:rFonts w:hint="cs"/>
          <w:rtl/>
        </w:rPr>
        <w:t>בענף</w:t>
      </w:r>
      <w:r w:rsidR="001113F5" w:rsidRPr="00982E88">
        <w:rPr>
          <w:rtl/>
        </w:rPr>
        <w:t xml:space="preserve"> </w:t>
      </w:r>
      <w:r w:rsidR="001113F5" w:rsidRPr="00982E88">
        <w:rPr>
          <w:rFonts w:hint="cs"/>
          <w:rtl/>
        </w:rPr>
        <w:t>אחר</w:t>
      </w:r>
      <w:r w:rsidR="001113F5" w:rsidRPr="00982E88">
        <w:rPr>
          <w:rtl/>
        </w:rPr>
        <w:t xml:space="preserve">, </w:t>
      </w:r>
      <w:r w:rsidR="001113F5" w:rsidRPr="00982E88">
        <w:rPr>
          <w:rFonts w:hint="cs"/>
          <w:rtl/>
        </w:rPr>
        <w:t>בלתי</w:t>
      </w:r>
      <w:r w:rsidR="001113F5" w:rsidRPr="00982E88">
        <w:rPr>
          <w:rtl/>
        </w:rPr>
        <w:t xml:space="preserve"> </w:t>
      </w:r>
      <w:r w:rsidR="001113F5" w:rsidRPr="00982E88">
        <w:rPr>
          <w:rFonts w:hint="cs"/>
          <w:rtl/>
        </w:rPr>
        <w:t>קשור</w:t>
      </w:r>
      <w:r w:rsidR="001113F5" w:rsidRPr="00982E88">
        <w:rPr>
          <w:rtl/>
        </w:rPr>
        <w:t xml:space="preserve"> </w:t>
      </w:r>
      <w:r w:rsidR="001113F5" w:rsidRPr="00982E88">
        <w:rPr>
          <w:rFonts w:hint="cs"/>
          <w:rtl/>
        </w:rPr>
        <w:t>לתחום</w:t>
      </w:r>
      <w:r w:rsidR="001113F5" w:rsidRPr="00982E88">
        <w:rPr>
          <w:rtl/>
        </w:rPr>
        <w:t xml:space="preserve"> </w:t>
      </w:r>
      <w:r w:rsidR="001113F5" w:rsidRPr="00982E88">
        <w:rPr>
          <w:rFonts w:hint="cs"/>
          <w:rtl/>
        </w:rPr>
        <w:t>הפיתוח</w:t>
      </w:r>
      <w:r w:rsidR="001113F5" w:rsidRPr="00982E88">
        <w:rPr>
          <w:rtl/>
        </w:rPr>
        <w:t>.</w:t>
      </w:r>
    </w:p>
    <w:p w14:paraId="0E885D66" w14:textId="23A0FA4D" w:rsidR="00AE58C2" w:rsidRDefault="002D02D6" w:rsidP="0083066E">
      <w:pPr>
        <w:spacing w:before="120" w:after="0" w:line="360" w:lineRule="auto"/>
        <w:jc w:val="both"/>
        <w:rPr>
          <w:rFonts w:cs="David"/>
          <w:b/>
          <w:bCs/>
          <w:sz w:val="24"/>
          <w:szCs w:val="24"/>
          <w:rtl/>
        </w:rPr>
      </w:pPr>
      <w:r>
        <w:rPr>
          <w:rFonts w:cs="David" w:hint="cs"/>
          <w:sz w:val="24"/>
          <w:szCs w:val="24"/>
          <w:rtl/>
        </w:rPr>
        <w:t>רוחב-יתר עשוי למצוא את ביטויו בפרמטרים שונים, ל</w:t>
      </w:r>
      <w:r w:rsidR="00B50FB5">
        <w:rPr>
          <w:rFonts w:cs="David" w:hint="cs"/>
          <w:sz w:val="24"/>
          <w:szCs w:val="24"/>
          <w:rtl/>
        </w:rPr>
        <w:t>דוגמה</w:t>
      </w:r>
      <w:r>
        <w:rPr>
          <w:rFonts w:cs="David" w:hint="cs"/>
          <w:sz w:val="24"/>
          <w:szCs w:val="24"/>
          <w:rtl/>
        </w:rPr>
        <w:t xml:space="preserve"> תקופת זמן ארוכה מ</w:t>
      </w:r>
      <w:r w:rsidR="00945EB2">
        <w:rPr>
          <w:rFonts w:cs="David" w:hint="cs"/>
          <w:sz w:val="24"/>
          <w:szCs w:val="24"/>
          <w:rtl/>
        </w:rPr>
        <w:t xml:space="preserve">כפי </w:t>
      </w:r>
      <w:r>
        <w:rPr>
          <w:rFonts w:cs="David" w:hint="cs"/>
          <w:sz w:val="24"/>
          <w:szCs w:val="24"/>
          <w:rtl/>
        </w:rPr>
        <w:t>הצורך,</w:t>
      </w:r>
      <w:bookmarkStart w:id="26" w:name="_Ref506818172"/>
      <w:r w:rsidR="002161DF">
        <w:rPr>
          <w:rStyle w:val="FootnoteReference"/>
          <w:rFonts w:cs="David"/>
          <w:sz w:val="24"/>
          <w:szCs w:val="24"/>
          <w:rtl/>
        </w:rPr>
        <w:footnoteReference w:id="56"/>
      </w:r>
      <w:bookmarkEnd w:id="26"/>
      <w:r>
        <w:rPr>
          <w:rFonts w:cs="David" w:hint="cs"/>
          <w:sz w:val="24"/>
          <w:szCs w:val="24"/>
          <w:rtl/>
        </w:rPr>
        <w:t xml:space="preserve"> פריסה גיאוגרפית רחבה מ</w:t>
      </w:r>
      <w:r w:rsidR="00945EB2">
        <w:rPr>
          <w:rFonts w:cs="David" w:hint="cs"/>
          <w:sz w:val="24"/>
          <w:szCs w:val="24"/>
          <w:rtl/>
        </w:rPr>
        <w:t>כפי</w:t>
      </w:r>
      <w:r>
        <w:rPr>
          <w:rFonts w:cs="David" w:hint="cs"/>
          <w:sz w:val="24"/>
          <w:szCs w:val="24"/>
          <w:rtl/>
        </w:rPr>
        <w:t xml:space="preserve"> הצורך,</w:t>
      </w:r>
      <w:r w:rsidR="002161DF">
        <w:rPr>
          <w:rStyle w:val="FootnoteReference"/>
          <w:rFonts w:cs="David"/>
          <w:sz w:val="24"/>
          <w:szCs w:val="24"/>
          <w:rtl/>
        </w:rPr>
        <w:footnoteReference w:id="57"/>
      </w:r>
      <w:r>
        <w:rPr>
          <w:rFonts w:cs="David" w:hint="cs"/>
          <w:sz w:val="24"/>
          <w:szCs w:val="24"/>
          <w:rtl/>
        </w:rPr>
        <w:t xml:space="preserve"> תחולה </w:t>
      </w:r>
      <w:r w:rsidR="002161DF">
        <w:rPr>
          <w:rFonts w:cs="David" w:hint="cs"/>
          <w:sz w:val="24"/>
          <w:szCs w:val="24"/>
          <w:rtl/>
        </w:rPr>
        <w:t>לגבי</w:t>
      </w:r>
      <w:r>
        <w:rPr>
          <w:rFonts w:cs="David" w:hint="cs"/>
          <w:sz w:val="24"/>
          <w:szCs w:val="24"/>
          <w:rtl/>
        </w:rPr>
        <w:t xml:space="preserve"> מוצרים או שווקים שאין צורך שהכבילה תחול לגביהם,</w:t>
      </w:r>
      <w:r w:rsidR="002161DF">
        <w:rPr>
          <w:rStyle w:val="FootnoteReference"/>
          <w:rFonts w:cs="David"/>
          <w:sz w:val="24"/>
          <w:szCs w:val="24"/>
          <w:rtl/>
        </w:rPr>
        <w:footnoteReference w:id="58"/>
      </w:r>
      <w:r>
        <w:rPr>
          <w:rFonts w:cs="David" w:hint="cs"/>
          <w:sz w:val="24"/>
          <w:szCs w:val="24"/>
          <w:rtl/>
        </w:rPr>
        <w:t xml:space="preserve"> תחולה על אנשים או תאגידים שאין צורך שהכבילה תחול עליהם</w:t>
      </w:r>
      <w:r w:rsidR="002161DF" w:rsidRPr="00FD1DB7">
        <w:rPr>
          <w:rStyle w:val="FootnoteReference"/>
          <w:rFonts w:cs="David"/>
          <w:sz w:val="24"/>
          <w:szCs w:val="24"/>
          <w:rtl/>
        </w:rPr>
        <w:footnoteReference w:id="59"/>
      </w:r>
      <w:r>
        <w:rPr>
          <w:rFonts w:cs="David" w:hint="cs"/>
          <w:b/>
          <w:bCs/>
          <w:sz w:val="24"/>
          <w:szCs w:val="24"/>
          <w:rtl/>
        </w:rPr>
        <w:t xml:space="preserve"> </w:t>
      </w:r>
      <w:r>
        <w:rPr>
          <w:rFonts w:cs="David" w:hint="cs"/>
          <w:sz w:val="24"/>
          <w:szCs w:val="24"/>
          <w:rtl/>
        </w:rPr>
        <w:t xml:space="preserve">וכן כל פרמטר אחר, שלפיו הכבילה רחבה מכפי </w:t>
      </w:r>
      <w:r w:rsidR="0083066E">
        <w:rPr>
          <w:rFonts w:cs="David" w:hint="cs"/>
          <w:sz w:val="24"/>
          <w:szCs w:val="24"/>
          <w:rtl/>
        </w:rPr>
        <w:t>הנחוץ</w:t>
      </w:r>
      <w:r>
        <w:rPr>
          <w:rFonts w:cs="David" w:hint="cs"/>
          <w:sz w:val="24"/>
          <w:szCs w:val="24"/>
          <w:rtl/>
        </w:rPr>
        <w:t xml:space="preserve"> לשם מימוש</w:t>
      </w:r>
      <w:r w:rsidR="00D01458">
        <w:rPr>
          <w:rFonts w:cs="David" w:hint="cs"/>
          <w:sz w:val="24"/>
          <w:szCs w:val="24"/>
          <w:rtl/>
        </w:rPr>
        <w:t xml:space="preserve"> שיתוף-הפעולה הלגיטימי שהוא </w:t>
      </w:r>
      <w:r>
        <w:rPr>
          <w:rFonts w:cs="David" w:hint="cs"/>
          <w:sz w:val="24"/>
          <w:szCs w:val="24"/>
          <w:rtl/>
        </w:rPr>
        <w:t xml:space="preserve"> עיקרו של ההסדר. </w:t>
      </w:r>
    </w:p>
    <w:p w14:paraId="4285E574" w14:textId="5ED0887B" w:rsidR="004973EE" w:rsidRPr="004973EE" w:rsidRDefault="004D294D" w:rsidP="00F851DA">
      <w:pPr>
        <w:spacing w:before="120" w:after="0" w:line="360" w:lineRule="auto"/>
        <w:jc w:val="both"/>
        <w:rPr>
          <w:rFonts w:cs="David"/>
          <w:sz w:val="24"/>
          <w:szCs w:val="24"/>
          <w:rtl/>
        </w:rPr>
      </w:pPr>
      <w:r>
        <w:rPr>
          <w:rFonts w:cs="David" w:hint="cs"/>
          <w:sz w:val="24"/>
          <w:szCs w:val="24"/>
          <w:rtl/>
        </w:rPr>
        <w:t>בבואה</w:t>
      </w:r>
      <w:r w:rsidR="004973EE">
        <w:rPr>
          <w:rFonts w:cs="David" w:hint="cs"/>
          <w:sz w:val="24"/>
          <w:szCs w:val="24"/>
          <w:rtl/>
        </w:rPr>
        <w:t xml:space="preserve"> לבחון האם כבילה לוקה ברוחב-יתר,</w:t>
      </w:r>
      <w:r>
        <w:rPr>
          <w:rFonts w:cs="David" w:hint="cs"/>
          <w:sz w:val="24"/>
          <w:szCs w:val="24"/>
          <w:rtl/>
        </w:rPr>
        <w:t xml:space="preserve"> הרשות</w:t>
      </w:r>
      <w:r w:rsidR="00C43F69">
        <w:rPr>
          <w:rFonts w:cs="David" w:hint="cs"/>
          <w:sz w:val="24"/>
          <w:szCs w:val="24"/>
          <w:rtl/>
        </w:rPr>
        <w:t xml:space="preserve"> ת</w:t>
      </w:r>
      <w:r w:rsidR="00F851DA">
        <w:rPr>
          <w:rFonts w:cs="David" w:hint="cs"/>
          <w:sz w:val="24"/>
          <w:szCs w:val="24"/>
          <w:rtl/>
        </w:rPr>
        <w:t>י</w:t>
      </w:r>
      <w:r w:rsidR="00C43F69">
        <w:rPr>
          <w:rFonts w:cs="David" w:hint="cs"/>
          <w:sz w:val="24"/>
          <w:szCs w:val="24"/>
          <w:rtl/>
        </w:rPr>
        <w:t>תן את דעתה לכך שבמקרים רבים יתכנו מספר אפשרויות סבירות באשר לרוחב הכבילה</w:t>
      </w:r>
      <w:r w:rsidR="00BA580D">
        <w:rPr>
          <w:rFonts w:cs="David" w:hint="cs"/>
          <w:sz w:val="24"/>
          <w:szCs w:val="24"/>
          <w:rtl/>
        </w:rPr>
        <w:t>.</w:t>
      </w:r>
      <w:r w:rsidR="00C43F69">
        <w:rPr>
          <w:rFonts w:cs="David" w:hint="cs"/>
          <w:sz w:val="24"/>
          <w:szCs w:val="24"/>
          <w:rtl/>
        </w:rPr>
        <w:t xml:space="preserve"> בהתחשב בכך</w:t>
      </w:r>
      <w:r w:rsidR="00BA580D">
        <w:rPr>
          <w:rFonts w:cs="David" w:hint="cs"/>
          <w:sz w:val="24"/>
          <w:szCs w:val="24"/>
          <w:rtl/>
        </w:rPr>
        <w:t>,</w:t>
      </w:r>
      <w:r>
        <w:rPr>
          <w:rFonts w:cs="David" w:hint="cs"/>
          <w:sz w:val="24"/>
          <w:szCs w:val="24"/>
          <w:rtl/>
        </w:rPr>
        <w:t xml:space="preserve"> תבחן</w:t>
      </w:r>
      <w:r w:rsidR="00C43F69">
        <w:rPr>
          <w:rFonts w:cs="David" w:hint="cs"/>
          <w:sz w:val="24"/>
          <w:szCs w:val="24"/>
          <w:rtl/>
        </w:rPr>
        <w:t xml:space="preserve"> הרשות</w:t>
      </w:r>
      <w:r>
        <w:rPr>
          <w:rFonts w:cs="David" w:hint="cs"/>
          <w:sz w:val="24"/>
          <w:szCs w:val="24"/>
          <w:rtl/>
        </w:rPr>
        <w:t xml:space="preserve"> האם </w:t>
      </w:r>
      <w:r w:rsidR="005712BF">
        <w:rPr>
          <w:rFonts w:cs="David" w:hint="cs"/>
          <w:sz w:val="24"/>
          <w:szCs w:val="24"/>
          <w:rtl/>
        </w:rPr>
        <w:t xml:space="preserve">רוחב </w:t>
      </w:r>
      <w:r w:rsidR="00C43F69">
        <w:rPr>
          <w:rFonts w:cs="David" w:hint="cs"/>
          <w:sz w:val="24"/>
          <w:szCs w:val="24"/>
          <w:rtl/>
        </w:rPr>
        <w:t xml:space="preserve">הכבילה כפי שנקבע על-ידי הצדדים מצוי במתחם הסבירות </w:t>
      </w:r>
      <w:r>
        <w:rPr>
          <w:rFonts w:cs="David" w:hint="cs"/>
          <w:sz w:val="24"/>
          <w:szCs w:val="24"/>
          <w:rtl/>
        </w:rPr>
        <w:t>לאור נסיבות המקרה.</w:t>
      </w:r>
      <w:r w:rsidR="00C43F69">
        <w:rPr>
          <w:rStyle w:val="FootnoteReference"/>
          <w:rFonts w:cs="David"/>
          <w:sz w:val="24"/>
          <w:szCs w:val="24"/>
          <w:rtl/>
        </w:rPr>
        <w:footnoteReference w:id="60"/>
      </w:r>
      <w:r>
        <w:rPr>
          <w:rFonts w:cs="David" w:hint="cs"/>
          <w:sz w:val="24"/>
          <w:szCs w:val="24"/>
          <w:rtl/>
        </w:rPr>
        <w:t xml:space="preserve"> </w:t>
      </w:r>
    </w:p>
    <w:p w14:paraId="6C136875" w14:textId="37CF4E47" w:rsidR="009B2A08" w:rsidRPr="009D78E7" w:rsidRDefault="00966163" w:rsidP="009D78E7">
      <w:pPr>
        <w:pStyle w:val="Heading3"/>
        <w:rPr>
          <w:rtl/>
        </w:rPr>
      </w:pPr>
      <w:r w:rsidRPr="009D78E7">
        <w:rPr>
          <w:u w:val="none"/>
        </w:rPr>
        <w:t>IV</w:t>
      </w:r>
      <w:r w:rsidRPr="009D78E7">
        <w:rPr>
          <w:rFonts w:hint="cs"/>
          <w:u w:val="none"/>
          <w:rtl/>
        </w:rPr>
        <w:t>.ד</w:t>
      </w:r>
      <w:r w:rsidR="00CB0935" w:rsidRPr="009D78E7">
        <w:rPr>
          <w:rFonts w:hint="cs"/>
          <w:u w:val="none"/>
          <w:rtl/>
        </w:rPr>
        <w:tab/>
      </w:r>
      <w:r w:rsidR="00795D32" w:rsidRPr="009D78E7">
        <w:rPr>
          <w:rFonts w:hint="cs"/>
          <w:rtl/>
        </w:rPr>
        <w:t>ה</w:t>
      </w:r>
      <w:r w:rsidR="00A47021" w:rsidRPr="009D78E7">
        <w:rPr>
          <w:rFonts w:hint="cs"/>
          <w:rtl/>
        </w:rPr>
        <w:t>דריש</w:t>
      </w:r>
      <w:r w:rsidR="00795D32" w:rsidRPr="009D78E7">
        <w:rPr>
          <w:rFonts w:hint="cs"/>
          <w:rtl/>
        </w:rPr>
        <w:t>ה שהכבילה תהיה משנית ל</w:t>
      </w:r>
      <w:r w:rsidR="00A03625" w:rsidRPr="009D78E7">
        <w:rPr>
          <w:rFonts w:hint="cs"/>
          <w:rtl/>
        </w:rPr>
        <w:t>ש</w:t>
      </w:r>
      <w:r w:rsidR="005F3797" w:rsidRPr="009D78E7">
        <w:rPr>
          <w:rFonts w:hint="cs"/>
          <w:rtl/>
        </w:rPr>
        <w:t xml:space="preserve">יתוף הפעולה </w:t>
      </w:r>
      <w:r w:rsidR="00795D32" w:rsidRPr="009D78E7">
        <w:rPr>
          <w:rFonts w:hint="cs"/>
          <w:rtl/>
        </w:rPr>
        <w:t>הלגיטימי</w:t>
      </w:r>
    </w:p>
    <w:p w14:paraId="3F9B47B7" w14:textId="2E042D2C" w:rsidR="003943C7" w:rsidRPr="003C1FC6" w:rsidRDefault="009F3153" w:rsidP="00C761E7">
      <w:pPr>
        <w:spacing w:before="120" w:after="0" w:line="360" w:lineRule="auto"/>
        <w:jc w:val="both"/>
        <w:rPr>
          <w:rFonts w:cs="David"/>
          <w:sz w:val="24"/>
          <w:szCs w:val="24"/>
          <w:rtl/>
        </w:rPr>
      </w:pPr>
      <w:r>
        <w:rPr>
          <w:rFonts w:cs="David" w:hint="cs"/>
          <w:sz w:val="24"/>
          <w:szCs w:val="24"/>
          <w:rtl/>
        </w:rPr>
        <w:t xml:space="preserve">על-מנת שכבילה </w:t>
      </w:r>
      <w:r w:rsidR="00ED597F">
        <w:rPr>
          <w:rFonts w:cs="David" w:hint="cs"/>
          <w:sz w:val="24"/>
          <w:szCs w:val="24"/>
          <w:rtl/>
        </w:rPr>
        <w:t xml:space="preserve">תעמוד בדרישה של סע' 14(א)(2) סיפא, </w:t>
      </w:r>
      <w:r w:rsidR="004D33E4">
        <w:rPr>
          <w:rFonts w:cs="David" w:hint="cs"/>
          <w:sz w:val="24"/>
          <w:szCs w:val="24"/>
          <w:rtl/>
        </w:rPr>
        <w:t xml:space="preserve">עליה </w:t>
      </w:r>
      <w:r>
        <w:rPr>
          <w:rFonts w:cs="David" w:hint="cs"/>
          <w:sz w:val="24"/>
          <w:szCs w:val="24"/>
          <w:rtl/>
        </w:rPr>
        <w:t>להיות משנית לשיתוף-הפעולה הלגיטימי</w:t>
      </w:r>
      <w:r w:rsidR="0083066E">
        <w:rPr>
          <w:rFonts w:cs="David" w:hint="cs"/>
          <w:sz w:val="24"/>
          <w:szCs w:val="24"/>
          <w:rtl/>
        </w:rPr>
        <w:t xml:space="preserve"> שהוא עיקר ההסדר</w:t>
      </w:r>
      <w:r>
        <w:rPr>
          <w:rFonts w:cs="David" w:hint="cs"/>
          <w:sz w:val="24"/>
          <w:szCs w:val="24"/>
          <w:rtl/>
        </w:rPr>
        <w:t>.</w:t>
      </w:r>
      <w:r w:rsidR="00253DBB">
        <w:rPr>
          <w:rStyle w:val="FootnoteReference"/>
          <w:rFonts w:cs="David"/>
          <w:sz w:val="24"/>
          <w:szCs w:val="24"/>
          <w:rtl/>
        </w:rPr>
        <w:footnoteReference w:id="61"/>
      </w:r>
      <w:r w:rsidR="00D701C2">
        <w:rPr>
          <w:rFonts w:cs="David" w:hint="cs"/>
          <w:sz w:val="24"/>
          <w:szCs w:val="24"/>
          <w:rtl/>
        </w:rPr>
        <w:t xml:space="preserve"> </w:t>
      </w:r>
    </w:p>
    <w:p w14:paraId="1DFD6E19" w14:textId="63669C86" w:rsidR="00D4495F" w:rsidRDefault="005C0BB5" w:rsidP="00C761E7">
      <w:pPr>
        <w:spacing w:before="120" w:after="0" w:line="360" w:lineRule="auto"/>
        <w:jc w:val="both"/>
        <w:rPr>
          <w:rFonts w:cs="David"/>
          <w:sz w:val="24"/>
          <w:szCs w:val="24"/>
          <w:rtl/>
        </w:rPr>
      </w:pPr>
      <w:r>
        <w:rPr>
          <w:rFonts w:cs="David" w:hint="cs"/>
          <w:sz w:val="24"/>
          <w:szCs w:val="24"/>
          <w:rtl/>
        </w:rPr>
        <w:lastRenderedPageBreak/>
        <w:t>לעומת זאת, כאשר</w:t>
      </w:r>
      <w:r w:rsidR="0083066E">
        <w:rPr>
          <w:rFonts w:cs="David" w:hint="cs"/>
          <w:sz w:val="24"/>
          <w:szCs w:val="24"/>
          <w:rtl/>
        </w:rPr>
        <w:t xml:space="preserve"> הכבילה אינה משנית לשיתוף-</w:t>
      </w:r>
      <w:r w:rsidR="00E96554">
        <w:rPr>
          <w:rFonts w:cs="David" w:hint="cs"/>
          <w:sz w:val="24"/>
          <w:szCs w:val="24"/>
          <w:rtl/>
        </w:rPr>
        <w:t>ה</w:t>
      </w:r>
      <w:r w:rsidR="0083066E">
        <w:rPr>
          <w:rFonts w:cs="David" w:hint="cs"/>
          <w:sz w:val="24"/>
          <w:szCs w:val="24"/>
          <w:rtl/>
        </w:rPr>
        <w:t xml:space="preserve">פעולה </w:t>
      </w:r>
      <w:r w:rsidR="00E96554">
        <w:rPr>
          <w:rFonts w:cs="David" w:hint="cs"/>
          <w:sz w:val="24"/>
          <w:szCs w:val="24"/>
          <w:rtl/>
        </w:rPr>
        <w:t>הלגיטימי ש</w:t>
      </w:r>
      <w:r w:rsidR="0083066E">
        <w:rPr>
          <w:rFonts w:cs="David" w:hint="cs"/>
          <w:sz w:val="24"/>
          <w:szCs w:val="24"/>
          <w:rtl/>
        </w:rPr>
        <w:t>בהסדר</w:t>
      </w:r>
      <w:r w:rsidR="0083066E" w:rsidRPr="009D367F">
        <w:rPr>
          <w:rFonts w:cs="David" w:hint="cs"/>
          <w:sz w:val="24"/>
          <w:szCs w:val="24"/>
          <w:rtl/>
        </w:rPr>
        <w:t xml:space="preserve">, </w:t>
      </w:r>
      <w:r w:rsidR="00C761E7" w:rsidRPr="009D367F">
        <w:rPr>
          <w:rFonts w:cs="David" w:hint="cs"/>
          <w:sz w:val="24"/>
          <w:szCs w:val="24"/>
          <w:rtl/>
        </w:rPr>
        <w:t>הרי</w:t>
      </w:r>
      <w:r w:rsidR="00C761E7" w:rsidRPr="009D367F">
        <w:rPr>
          <w:rFonts w:cs="David"/>
          <w:sz w:val="24"/>
          <w:szCs w:val="24"/>
          <w:rtl/>
        </w:rPr>
        <w:t xml:space="preserve"> </w:t>
      </w:r>
      <w:r w:rsidR="00C761E7" w:rsidRPr="009D367F">
        <w:rPr>
          <w:rFonts w:cs="David" w:hint="cs"/>
          <w:sz w:val="24"/>
          <w:szCs w:val="24"/>
          <w:rtl/>
        </w:rPr>
        <w:t>שהיא</w:t>
      </w:r>
      <w:r w:rsidR="0083066E" w:rsidRPr="009D367F">
        <w:rPr>
          <w:rFonts w:cs="David"/>
          <w:sz w:val="24"/>
          <w:szCs w:val="24"/>
          <w:rtl/>
        </w:rPr>
        <w:t xml:space="preserve"> </w:t>
      </w:r>
      <w:r w:rsidR="0083066E" w:rsidRPr="009D367F">
        <w:rPr>
          <w:rFonts w:cs="David" w:hint="cs"/>
          <w:sz w:val="24"/>
          <w:szCs w:val="24"/>
          <w:rtl/>
        </w:rPr>
        <w:t>העיקר</w:t>
      </w:r>
      <w:r w:rsidR="0083066E">
        <w:rPr>
          <w:rFonts w:cs="David" w:hint="cs"/>
          <w:sz w:val="24"/>
          <w:szCs w:val="24"/>
          <w:rtl/>
        </w:rPr>
        <w:t xml:space="preserve">, וההסדר לא </w:t>
      </w:r>
      <w:r w:rsidR="006824D4">
        <w:rPr>
          <w:rFonts w:cs="David" w:hint="cs"/>
          <w:sz w:val="24"/>
          <w:szCs w:val="24"/>
          <w:rtl/>
        </w:rPr>
        <w:t>י</w:t>
      </w:r>
      <w:r w:rsidR="0083066E">
        <w:rPr>
          <w:rFonts w:cs="David" w:hint="cs"/>
          <w:sz w:val="24"/>
          <w:szCs w:val="24"/>
          <w:rtl/>
        </w:rPr>
        <w:t>עמ</w:t>
      </w:r>
      <w:r w:rsidR="00A30E85">
        <w:rPr>
          <w:rFonts w:cs="David" w:hint="cs"/>
          <w:sz w:val="24"/>
          <w:szCs w:val="24"/>
          <w:rtl/>
        </w:rPr>
        <w:t>ו</w:t>
      </w:r>
      <w:r w:rsidR="0083066E">
        <w:rPr>
          <w:rFonts w:cs="David" w:hint="cs"/>
          <w:sz w:val="24"/>
          <w:szCs w:val="24"/>
          <w:rtl/>
        </w:rPr>
        <w:t xml:space="preserve">ד בדרישת סע' 14(א)(2), </w:t>
      </w:r>
      <w:r>
        <w:rPr>
          <w:rFonts w:cs="David" w:hint="cs"/>
          <w:sz w:val="24"/>
          <w:szCs w:val="24"/>
          <w:rtl/>
        </w:rPr>
        <w:t>גם אם להסדר היבטים אשר היו נחשבים כלגיטימיים לו עמדו בפני עצמם</w:t>
      </w:r>
      <w:r w:rsidR="004D11F2">
        <w:rPr>
          <w:rFonts w:cs="David" w:hint="cs"/>
          <w:sz w:val="24"/>
          <w:szCs w:val="24"/>
          <w:rtl/>
        </w:rPr>
        <w:t>.</w:t>
      </w:r>
      <w:r w:rsidR="009A1F13">
        <w:rPr>
          <w:rStyle w:val="FootnoteReference"/>
          <w:rFonts w:cs="David"/>
          <w:sz w:val="24"/>
          <w:szCs w:val="24"/>
          <w:rtl/>
        </w:rPr>
        <w:footnoteReference w:id="62"/>
      </w:r>
      <w:r w:rsidR="00D4495F">
        <w:rPr>
          <w:rFonts w:cs="David" w:hint="cs"/>
          <w:sz w:val="24"/>
          <w:szCs w:val="24"/>
          <w:rtl/>
        </w:rPr>
        <w:t xml:space="preserve"> </w:t>
      </w:r>
    </w:p>
    <w:p w14:paraId="6FD88A3C" w14:textId="4F5D1751" w:rsidR="00D31AB8" w:rsidRPr="00D31AB8" w:rsidRDefault="00D31AB8" w:rsidP="009D78E7">
      <w:pPr>
        <w:pStyle w:val="Heading2"/>
        <w:rPr>
          <w:rtl/>
        </w:rPr>
      </w:pPr>
      <w:r>
        <w:rPr>
          <w:rFonts w:hint="cs"/>
          <w:rtl/>
        </w:rPr>
        <w:t xml:space="preserve">כבילות </w:t>
      </w:r>
      <w:r w:rsidR="004A34ED">
        <w:rPr>
          <w:rFonts w:hint="cs"/>
          <w:rtl/>
        </w:rPr>
        <w:t xml:space="preserve">אשר </w:t>
      </w:r>
      <w:r>
        <w:rPr>
          <w:rFonts w:hint="cs"/>
          <w:rtl/>
        </w:rPr>
        <w:t>חלות לאחר תום שיתוף-הפעולה</w:t>
      </w:r>
    </w:p>
    <w:p w14:paraId="463D9914" w14:textId="06646E4D" w:rsidR="008F1286" w:rsidRDefault="006E2EF5" w:rsidP="00D13960">
      <w:pPr>
        <w:spacing w:before="120" w:after="0" w:line="360" w:lineRule="auto"/>
        <w:jc w:val="both"/>
        <w:rPr>
          <w:rFonts w:cs="David"/>
          <w:sz w:val="24"/>
          <w:szCs w:val="24"/>
          <w:rtl/>
        </w:rPr>
      </w:pPr>
      <w:r>
        <w:rPr>
          <w:rFonts w:cs="David" w:hint="cs"/>
          <w:sz w:val="24"/>
          <w:szCs w:val="24"/>
          <w:rtl/>
        </w:rPr>
        <w:t xml:space="preserve">יש מקרים, שבהם הצדדים מסכימים על </w:t>
      </w:r>
      <w:proofErr w:type="spellStart"/>
      <w:r>
        <w:rPr>
          <w:rFonts w:cs="David" w:hint="cs"/>
          <w:sz w:val="24"/>
          <w:szCs w:val="24"/>
          <w:rtl/>
        </w:rPr>
        <w:t>תניית</w:t>
      </w:r>
      <w:proofErr w:type="spellEnd"/>
      <w:r>
        <w:rPr>
          <w:rFonts w:cs="David" w:hint="cs"/>
          <w:sz w:val="24"/>
          <w:szCs w:val="24"/>
          <w:rtl/>
        </w:rPr>
        <w:t xml:space="preserve"> אי-תחרות שתחולתה לאחר סיום שיתוף-הפעולה ביניהם.</w:t>
      </w:r>
      <w:r w:rsidR="008D4420" w:rsidRPr="008D4420">
        <w:rPr>
          <w:rFonts w:cs="David" w:hint="cs"/>
          <w:sz w:val="24"/>
          <w:szCs w:val="24"/>
          <w:rtl/>
        </w:rPr>
        <w:t xml:space="preserve"> </w:t>
      </w:r>
      <w:r w:rsidR="008D4420">
        <w:rPr>
          <w:rFonts w:cs="David" w:hint="cs"/>
          <w:sz w:val="24"/>
          <w:szCs w:val="24"/>
          <w:rtl/>
        </w:rPr>
        <w:t>כמו כבילות החלות בחיי שיתוף-הפעולה הלגיטימי בין הצדדים, גם כבילות שתחולתן לאחר סיום שיתוף-הפעולה נדרשות לעמוד במבחן הנחיצות</w:t>
      </w:r>
      <w:r w:rsidR="00D13960">
        <w:rPr>
          <w:rFonts w:cs="David" w:hint="cs"/>
          <w:sz w:val="24"/>
          <w:szCs w:val="24"/>
          <w:rtl/>
        </w:rPr>
        <w:t xml:space="preserve"> על-פי סע' 14(א)(2) סיפא</w:t>
      </w:r>
      <w:r w:rsidR="008D4420">
        <w:rPr>
          <w:rFonts w:cs="David" w:hint="cs"/>
          <w:sz w:val="24"/>
          <w:szCs w:val="24"/>
          <w:rtl/>
        </w:rPr>
        <w:t>, על תת-מבחניו.</w:t>
      </w:r>
      <w:r w:rsidR="008D4420">
        <w:rPr>
          <w:rStyle w:val="FootnoteReference"/>
          <w:rFonts w:cs="David"/>
          <w:sz w:val="24"/>
          <w:szCs w:val="24"/>
          <w:rtl/>
        </w:rPr>
        <w:footnoteReference w:id="63"/>
      </w:r>
    </w:p>
    <w:p w14:paraId="12970542" w14:textId="26FAC59F" w:rsidR="00423B92" w:rsidRDefault="00423B92" w:rsidP="00CB17C1">
      <w:pPr>
        <w:spacing w:before="120" w:after="0" w:line="360" w:lineRule="auto"/>
        <w:jc w:val="both"/>
        <w:rPr>
          <w:rFonts w:cs="David"/>
          <w:sz w:val="24"/>
          <w:szCs w:val="24"/>
          <w:rtl/>
        </w:rPr>
      </w:pPr>
      <w:r>
        <w:rPr>
          <w:rFonts w:cs="David" w:hint="cs"/>
          <w:sz w:val="24"/>
          <w:szCs w:val="24"/>
          <w:rtl/>
        </w:rPr>
        <w:t xml:space="preserve">בבחינת נחיצות </w:t>
      </w:r>
      <w:proofErr w:type="spellStart"/>
      <w:r>
        <w:rPr>
          <w:rFonts w:cs="David" w:hint="cs"/>
          <w:sz w:val="24"/>
          <w:szCs w:val="24"/>
          <w:rtl/>
        </w:rPr>
        <w:t>תניית</w:t>
      </w:r>
      <w:proofErr w:type="spellEnd"/>
      <w:r>
        <w:rPr>
          <w:rFonts w:cs="David" w:hint="cs"/>
          <w:sz w:val="24"/>
          <w:szCs w:val="24"/>
          <w:rtl/>
        </w:rPr>
        <w:t xml:space="preserve"> אי-תחרות שתחולתה לאחר סיום שיתוף-הפעולה, נודעת חשיבות לעיתוי עשייתה של </w:t>
      </w:r>
      <w:proofErr w:type="spellStart"/>
      <w:r>
        <w:rPr>
          <w:rFonts w:cs="David" w:hint="cs"/>
          <w:sz w:val="24"/>
          <w:szCs w:val="24"/>
          <w:rtl/>
        </w:rPr>
        <w:t>תניית</w:t>
      </w:r>
      <w:proofErr w:type="spellEnd"/>
      <w:r>
        <w:rPr>
          <w:rFonts w:cs="David" w:hint="cs"/>
          <w:sz w:val="24"/>
          <w:szCs w:val="24"/>
          <w:rtl/>
        </w:rPr>
        <w:t xml:space="preserve"> האי-תחרות. כעיקרון, רעיון הנחיצות הוא שאלמלא הכבילה, היו הצדדים נרתעים מלשתף פעולה</w:t>
      </w:r>
      <w:r w:rsidR="00AA0299">
        <w:rPr>
          <w:rFonts w:cs="David" w:hint="cs"/>
          <w:sz w:val="24"/>
          <w:szCs w:val="24"/>
          <w:rtl/>
        </w:rPr>
        <w:t>, או מלהירתם באופן מלא להצלחת שיתוף-הפעולה.</w:t>
      </w:r>
      <w:r>
        <w:rPr>
          <w:rFonts w:cs="David" w:hint="cs"/>
          <w:sz w:val="24"/>
          <w:szCs w:val="24"/>
          <w:rtl/>
        </w:rPr>
        <w:t xml:space="preserve"> בהתאם, יש מקום לצפות לכך </w:t>
      </w:r>
      <w:proofErr w:type="spellStart"/>
      <w:r>
        <w:rPr>
          <w:rFonts w:cs="David" w:hint="cs"/>
          <w:sz w:val="24"/>
          <w:szCs w:val="24"/>
          <w:rtl/>
        </w:rPr>
        <w:t>שתניית</w:t>
      </w:r>
      <w:proofErr w:type="spellEnd"/>
      <w:r>
        <w:rPr>
          <w:rFonts w:cs="David" w:hint="cs"/>
          <w:sz w:val="24"/>
          <w:szCs w:val="24"/>
          <w:rtl/>
        </w:rPr>
        <w:t xml:space="preserve"> אי-תחרות תיעשה לפני תחילת שיתוף-הפעולה, או לכל ה</w:t>
      </w:r>
      <w:r w:rsidR="00AA0299">
        <w:rPr>
          <w:rFonts w:cs="David" w:hint="cs"/>
          <w:sz w:val="24"/>
          <w:szCs w:val="24"/>
          <w:rtl/>
        </w:rPr>
        <w:t>מאוחר</w:t>
      </w:r>
      <w:r>
        <w:rPr>
          <w:rFonts w:cs="David" w:hint="cs"/>
          <w:sz w:val="24"/>
          <w:szCs w:val="24"/>
          <w:rtl/>
        </w:rPr>
        <w:t xml:space="preserve"> במהלך תקופת שיתוף-הפעולה. </w:t>
      </w:r>
      <w:r w:rsidR="002F36E4">
        <w:rPr>
          <w:rFonts w:cs="David" w:hint="cs"/>
          <w:sz w:val="24"/>
          <w:szCs w:val="24"/>
          <w:rtl/>
        </w:rPr>
        <w:t xml:space="preserve">אם רק בעת פירוק שיתוף-הפעולה עושים הצדדים לראשונה </w:t>
      </w:r>
      <w:proofErr w:type="spellStart"/>
      <w:r w:rsidR="002F36E4">
        <w:rPr>
          <w:rFonts w:cs="David" w:hint="cs"/>
          <w:sz w:val="24"/>
          <w:szCs w:val="24"/>
          <w:rtl/>
        </w:rPr>
        <w:t>תניית</w:t>
      </w:r>
      <w:proofErr w:type="spellEnd"/>
      <w:r w:rsidR="002F36E4">
        <w:rPr>
          <w:rFonts w:cs="David" w:hint="cs"/>
          <w:sz w:val="24"/>
          <w:szCs w:val="24"/>
          <w:rtl/>
        </w:rPr>
        <w:t xml:space="preserve"> אי-תחרות </w:t>
      </w:r>
      <w:r w:rsidR="00CB17C1">
        <w:rPr>
          <w:rFonts w:cs="David" w:hint="cs"/>
          <w:sz w:val="24"/>
          <w:szCs w:val="24"/>
          <w:rtl/>
        </w:rPr>
        <w:t xml:space="preserve">שתחולתה </w:t>
      </w:r>
      <w:r w:rsidR="002F36E4">
        <w:rPr>
          <w:rFonts w:cs="David" w:hint="cs"/>
          <w:sz w:val="24"/>
          <w:szCs w:val="24"/>
          <w:rtl/>
        </w:rPr>
        <w:t xml:space="preserve">לאחר סיום שיתוף-הפעולה, </w:t>
      </w:r>
      <w:r w:rsidR="001B633E">
        <w:rPr>
          <w:rFonts w:cs="David" w:hint="cs"/>
          <w:sz w:val="24"/>
          <w:szCs w:val="24"/>
          <w:rtl/>
        </w:rPr>
        <w:t>ת</w:t>
      </w:r>
      <w:r w:rsidR="00AA0299">
        <w:rPr>
          <w:rFonts w:cs="David" w:hint="cs"/>
          <w:sz w:val="24"/>
          <w:szCs w:val="24"/>
          <w:rtl/>
        </w:rPr>
        <w:t>היה בעיתוי זה</w:t>
      </w:r>
      <w:r w:rsidR="003D3522">
        <w:rPr>
          <w:rFonts w:cs="David" w:hint="cs"/>
          <w:sz w:val="24"/>
          <w:szCs w:val="24"/>
          <w:rtl/>
        </w:rPr>
        <w:t xml:space="preserve"> </w:t>
      </w:r>
      <w:r w:rsidR="002F36E4">
        <w:rPr>
          <w:rFonts w:cs="David" w:hint="cs"/>
          <w:sz w:val="24"/>
          <w:szCs w:val="24"/>
          <w:rtl/>
        </w:rPr>
        <w:t xml:space="preserve">אינדיקציה </w:t>
      </w:r>
      <w:r w:rsidR="00B554E7">
        <w:rPr>
          <w:rFonts w:cs="David" w:hint="cs"/>
          <w:sz w:val="24"/>
          <w:szCs w:val="24"/>
          <w:rtl/>
        </w:rPr>
        <w:t xml:space="preserve">לכך </w:t>
      </w:r>
      <w:proofErr w:type="spellStart"/>
      <w:r w:rsidR="00B554E7">
        <w:rPr>
          <w:rFonts w:cs="David" w:hint="cs"/>
          <w:sz w:val="24"/>
          <w:szCs w:val="24"/>
          <w:rtl/>
        </w:rPr>
        <w:t>שהתנייה</w:t>
      </w:r>
      <w:proofErr w:type="spellEnd"/>
      <w:r w:rsidR="00B554E7">
        <w:rPr>
          <w:rFonts w:cs="David" w:hint="cs"/>
          <w:sz w:val="24"/>
          <w:szCs w:val="24"/>
          <w:rtl/>
        </w:rPr>
        <w:t xml:space="preserve"> לא </w:t>
      </w:r>
      <w:proofErr w:type="spellStart"/>
      <w:r w:rsidR="00B554E7">
        <w:rPr>
          <w:rFonts w:cs="David" w:hint="cs"/>
          <w:sz w:val="24"/>
          <w:szCs w:val="24"/>
          <w:rtl/>
        </w:rPr>
        <w:t>היתה</w:t>
      </w:r>
      <w:proofErr w:type="spellEnd"/>
      <w:r w:rsidR="00B554E7">
        <w:rPr>
          <w:rFonts w:cs="David" w:hint="cs"/>
          <w:sz w:val="24"/>
          <w:szCs w:val="24"/>
          <w:rtl/>
        </w:rPr>
        <w:t xml:space="preserve"> נחוצה לשם שיתוף-הפעולה.</w:t>
      </w:r>
      <w:bookmarkStart w:id="27" w:name="_Ref506820208"/>
      <w:r w:rsidR="00E57512">
        <w:rPr>
          <w:rStyle w:val="FootnoteReference"/>
          <w:rFonts w:cs="David"/>
          <w:sz w:val="24"/>
          <w:szCs w:val="24"/>
          <w:rtl/>
        </w:rPr>
        <w:footnoteReference w:id="64"/>
      </w:r>
      <w:bookmarkEnd w:id="27"/>
      <w:r w:rsidR="002F36E4">
        <w:rPr>
          <w:rFonts w:cs="David" w:hint="cs"/>
          <w:sz w:val="24"/>
          <w:szCs w:val="24"/>
          <w:rtl/>
        </w:rPr>
        <w:t xml:space="preserve"> </w:t>
      </w:r>
      <w:r w:rsidR="00B554E7">
        <w:rPr>
          <w:rFonts w:cs="David" w:hint="cs"/>
          <w:sz w:val="24"/>
          <w:szCs w:val="24"/>
          <w:rtl/>
        </w:rPr>
        <w:t xml:space="preserve"> </w:t>
      </w:r>
      <w:r w:rsidR="0091480D" w:rsidRPr="00B2434F">
        <w:rPr>
          <w:rFonts w:cs="David" w:hint="cs"/>
          <w:sz w:val="24"/>
          <w:szCs w:val="24"/>
          <w:rtl/>
        </w:rPr>
        <w:t xml:space="preserve">חריג אפשרי לכך יהיה מקרה שבו </w:t>
      </w:r>
      <w:r w:rsidR="00B554E7" w:rsidRPr="00B2434F">
        <w:rPr>
          <w:rFonts w:cs="David" w:hint="cs"/>
          <w:sz w:val="24"/>
          <w:szCs w:val="24"/>
          <w:rtl/>
        </w:rPr>
        <w:t xml:space="preserve">פירוק שיתוף-הפעולה </w:t>
      </w:r>
      <w:r w:rsidR="00B2434F">
        <w:rPr>
          <w:rFonts w:cs="David" w:hint="cs"/>
          <w:sz w:val="24"/>
          <w:szCs w:val="24"/>
          <w:rtl/>
        </w:rPr>
        <w:t xml:space="preserve">ייעשה כך שהוא </w:t>
      </w:r>
      <w:r w:rsidR="00B554E7" w:rsidRPr="00B2434F">
        <w:rPr>
          <w:rFonts w:cs="David" w:hint="cs"/>
          <w:sz w:val="24"/>
          <w:szCs w:val="24"/>
          <w:rtl/>
        </w:rPr>
        <w:t>כרוך במכירת עסק,</w:t>
      </w:r>
      <w:r w:rsidR="0091480D" w:rsidRPr="00B2434F">
        <w:rPr>
          <w:rFonts w:cs="David" w:hint="cs"/>
          <w:sz w:val="24"/>
          <w:szCs w:val="24"/>
          <w:rtl/>
        </w:rPr>
        <w:t xml:space="preserve"> שבמקרה כזה תתכן </w:t>
      </w:r>
      <w:proofErr w:type="spellStart"/>
      <w:r w:rsidR="0091480D" w:rsidRPr="00B2434F">
        <w:rPr>
          <w:rFonts w:cs="David" w:hint="cs"/>
          <w:sz w:val="24"/>
          <w:szCs w:val="24"/>
          <w:rtl/>
        </w:rPr>
        <w:t>תניית</w:t>
      </w:r>
      <w:proofErr w:type="spellEnd"/>
      <w:r w:rsidR="0091480D" w:rsidRPr="00B2434F">
        <w:rPr>
          <w:rFonts w:cs="David" w:hint="cs"/>
          <w:sz w:val="24"/>
          <w:szCs w:val="24"/>
          <w:rtl/>
        </w:rPr>
        <w:t xml:space="preserve"> אי-תחרות שהיא </w:t>
      </w:r>
      <w:r w:rsidR="00F24B9A">
        <w:rPr>
          <w:rFonts w:cs="David" w:hint="cs"/>
          <w:sz w:val="24"/>
          <w:szCs w:val="24"/>
          <w:rtl/>
        </w:rPr>
        <w:t>נחוצה</w:t>
      </w:r>
      <w:r w:rsidR="00B2434F">
        <w:rPr>
          <w:rFonts w:cs="David" w:hint="cs"/>
          <w:sz w:val="24"/>
          <w:szCs w:val="24"/>
          <w:rtl/>
        </w:rPr>
        <w:t xml:space="preserve"> לא ל</w:t>
      </w:r>
      <w:r w:rsidR="00F24B9A">
        <w:rPr>
          <w:rFonts w:cs="David" w:hint="cs"/>
          <w:sz w:val="24"/>
          <w:szCs w:val="24"/>
          <w:rtl/>
        </w:rPr>
        <w:t xml:space="preserve">שם מימוש </w:t>
      </w:r>
      <w:r w:rsidR="00B2434F">
        <w:rPr>
          <w:rFonts w:cs="David" w:hint="cs"/>
          <w:sz w:val="24"/>
          <w:szCs w:val="24"/>
          <w:rtl/>
        </w:rPr>
        <w:t>שיתוף-הפעולה אלא</w:t>
      </w:r>
      <w:r w:rsidR="0091480D" w:rsidRPr="00B2434F">
        <w:rPr>
          <w:rFonts w:cs="David" w:hint="cs"/>
          <w:sz w:val="24"/>
          <w:szCs w:val="24"/>
          <w:rtl/>
        </w:rPr>
        <w:t xml:space="preserve"> ל</w:t>
      </w:r>
      <w:r w:rsidR="00F24B9A">
        <w:rPr>
          <w:rFonts w:cs="David" w:hint="cs"/>
          <w:sz w:val="24"/>
          <w:szCs w:val="24"/>
          <w:rtl/>
        </w:rPr>
        <w:t xml:space="preserve">שם מימוש </w:t>
      </w:r>
      <w:r w:rsidR="0091480D" w:rsidRPr="00B2434F">
        <w:rPr>
          <w:rFonts w:cs="David" w:hint="cs"/>
          <w:sz w:val="24"/>
          <w:szCs w:val="24"/>
          <w:rtl/>
        </w:rPr>
        <w:t>מכירת העסק</w:t>
      </w:r>
      <w:r w:rsidR="00AA0299">
        <w:rPr>
          <w:rFonts w:cs="David" w:hint="cs"/>
          <w:sz w:val="24"/>
          <w:szCs w:val="24"/>
          <w:rtl/>
        </w:rPr>
        <w:t>.</w:t>
      </w:r>
      <w:r w:rsidR="00AA0299">
        <w:rPr>
          <w:rStyle w:val="FootnoteReference"/>
          <w:rFonts w:cs="David"/>
          <w:sz w:val="24"/>
          <w:szCs w:val="24"/>
          <w:rtl/>
        </w:rPr>
        <w:footnoteReference w:id="65"/>
      </w:r>
      <w:r w:rsidR="00AA0299">
        <w:rPr>
          <w:rFonts w:cs="David" w:hint="cs"/>
          <w:sz w:val="24"/>
          <w:szCs w:val="24"/>
          <w:rtl/>
        </w:rPr>
        <w:t xml:space="preserve"> </w:t>
      </w:r>
      <w:r w:rsidR="0091480D" w:rsidRPr="00B2434F">
        <w:rPr>
          <w:rFonts w:cs="David" w:hint="cs"/>
          <w:sz w:val="24"/>
          <w:szCs w:val="24"/>
          <w:rtl/>
        </w:rPr>
        <w:t xml:space="preserve"> </w:t>
      </w:r>
      <w:r w:rsidR="00B2434F">
        <w:rPr>
          <w:rFonts w:cs="David" w:hint="cs"/>
          <w:sz w:val="24"/>
          <w:szCs w:val="24"/>
          <w:rtl/>
        </w:rPr>
        <w:t xml:space="preserve">אולם, אין לראות בכל פירוק שיתוף-פעולה משום מכירת </w:t>
      </w:r>
      <w:r w:rsidR="00832CB6">
        <w:rPr>
          <w:rFonts w:cs="David" w:hint="cs"/>
          <w:sz w:val="24"/>
          <w:szCs w:val="24"/>
          <w:rtl/>
        </w:rPr>
        <w:t>עסק</w:t>
      </w:r>
      <w:r w:rsidR="00B2434F">
        <w:rPr>
          <w:rFonts w:cs="David" w:hint="cs"/>
          <w:sz w:val="24"/>
          <w:szCs w:val="24"/>
          <w:rtl/>
        </w:rPr>
        <w:t>.</w:t>
      </w:r>
      <w:bookmarkStart w:id="28" w:name="_Ref494787781"/>
      <w:r w:rsidR="00B2434F">
        <w:rPr>
          <w:rStyle w:val="FootnoteReference"/>
          <w:rFonts w:cs="David"/>
          <w:sz w:val="24"/>
          <w:szCs w:val="24"/>
          <w:rtl/>
        </w:rPr>
        <w:footnoteReference w:id="66"/>
      </w:r>
      <w:bookmarkEnd w:id="28"/>
      <w:r w:rsidR="00751C59" w:rsidRPr="00751C59">
        <w:rPr>
          <w:rFonts w:cs="David" w:hint="cs"/>
          <w:sz w:val="24"/>
          <w:szCs w:val="24"/>
          <w:rtl/>
        </w:rPr>
        <w:t xml:space="preserve"> </w:t>
      </w:r>
      <w:r w:rsidR="00751C59">
        <w:rPr>
          <w:rFonts w:cs="David" w:hint="cs"/>
          <w:sz w:val="24"/>
          <w:szCs w:val="24"/>
          <w:rtl/>
        </w:rPr>
        <w:t>(</w:t>
      </w:r>
      <w:r w:rsidR="00751C59" w:rsidRPr="00B2434F">
        <w:rPr>
          <w:rFonts w:cs="David" w:hint="cs"/>
          <w:sz w:val="24"/>
          <w:szCs w:val="24"/>
          <w:rtl/>
        </w:rPr>
        <w:t xml:space="preserve">על </w:t>
      </w:r>
      <w:proofErr w:type="spellStart"/>
      <w:r w:rsidR="00751C59" w:rsidRPr="00B2434F">
        <w:rPr>
          <w:rFonts w:cs="David" w:hint="cs"/>
          <w:sz w:val="24"/>
          <w:szCs w:val="24"/>
          <w:rtl/>
        </w:rPr>
        <w:t>תניות</w:t>
      </w:r>
      <w:proofErr w:type="spellEnd"/>
      <w:r w:rsidR="00751C59" w:rsidRPr="00B2434F">
        <w:rPr>
          <w:rFonts w:cs="David" w:hint="cs"/>
          <w:sz w:val="24"/>
          <w:szCs w:val="24"/>
          <w:rtl/>
        </w:rPr>
        <w:t xml:space="preserve"> אי-תחרות הנלוות למכירת </w:t>
      </w:r>
      <w:r w:rsidR="00751C59">
        <w:rPr>
          <w:rFonts w:cs="David" w:hint="cs"/>
          <w:sz w:val="24"/>
          <w:szCs w:val="24"/>
          <w:rtl/>
        </w:rPr>
        <w:t>עסק</w:t>
      </w:r>
      <w:r w:rsidR="00751C59" w:rsidRPr="00B2434F">
        <w:rPr>
          <w:rFonts w:cs="David" w:hint="cs"/>
          <w:sz w:val="24"/>
          <w:szCs w:val="24"/>
          <w:rtl/>
        </w:rPr>
        <w:t xml:space="preserve"> ראו את הפרק הבא להלן</w:t>
      </w:r>
      <w:r w:rsidR="00751C59">
        <w:rPr>
          <w:rFonts w:cs="David" w:hint="cs"/>
          <w:sz w:val="24"/>
          <w:szCs w:val="24"/>
          <w:rtl/>
        </w:rPr>
        <w:t>.)</w:t>
      </w:r>
    </w:p>
    <w:p w14:paraId="46B16F0C" w14:textId="610E36FC" w:rsidR="00995179" w:rsidRPr="005539B8" w:rsidRDefault="00995179" w:rsidP="009D78E7">
      <w:pPr>
        <w:pStyle w:val="Heading2"/>
        <w:rPr>
          <w:rtl/>
        </w:rPr>
      </w:pPr>
      <w:bookmarkStart w:id="29" w:name="_Ref494810018"/>
      <w:proofErr w:type="spellStart"/>
      <w:r w:rsidRPr="005539B8">
        <w:rPr>
          <w:rFonts w:hint="cs"/>
          <w:rtl/>
        </w:rPr>
        <w:t>תניית</w:t>
      </w:r>
      <w:proofErr w:type="spellEnd"/>
      <w:r w:rsidRPr="005539B8">
        <w:rPr>
          <w:rFonts w:hint="cs"/>
          <w:rtl/>
        </w:rPr>
        <w:t xml:space="preserve"> אי-תחרות ככבילה הנ</w:t>
      </w:r>
      <w:r w:rsidR="00F37101">
        <w:rPr>
          <w:rFonts w:hint="cs"/>
          <w:rtl/>
        </w:rPr>
        <w:t xml:space="preserve">חוצה למימוש </w:t>
      </w:r>
      <w:r w:rsidRPr="005539B8">
        <w:rPr>
          <w:rFonts w:hint="cs"/>
          <w:rtl/>
        </w:rPr>
        <w:t xml:space="preserve">מכירת </w:t>
      </w:r>
      <w:r w:rsidR="004A34ED" w:rsidRPr="005539B8">
        <w:rPr>
          <w:rFonts w:hint="cs"/>
          <w:rtl/>
        </w:rPr>
        <w:t>עסק</w:t>
      </w:r>
      <w:bookmarkEnd w:id="29"/>
    </w:p>
    <w:p w14:paraId="7B1677B5" w14:textId="7D7C37B4" w:rsidR="00582345" w:rsidRPr="002B4A7B" w:rsidRDefault="000C1854" w:rsidP="000231D5">
      <w:pPr>
        <w:spacing w:before="120" w:after="0" w:line="360" w:lineRule="auto"/>
        <w:jc w:val="both"/>
        <w:rPr>
          <w:rFonts w:asciiTheme="majorBidi" w:hAnsiTheme="majorBidi" w:cstheme="majorBidi"/>
          <w:b/>
          <w:bCs/>
          <w:sz w:val="24"/>
          <w:szCs w:val="24"/>
        </w:rPr>
      </w:pPr>
      <w:r>
        <w:rPr>
          <w:rFonts w:cs="David" w:hint="cs"/>
          <w:sz w:val="24"/>
          <w:szCs w:val="24"/>
          <w:rtl/>
        </w:rPr>
        <w:t>כבילה עשויה להיות נ</w:t>
      </w:r>
      <w:r w:rsidR="00AC66FD">
        <w:rPr>
          <w:rFonts w:cs="David" w:hint="cs"/>
          <w:sz w:val="24"/>
          <w:szCs w:val="24"/>
          <w:rtl/>
        </w:rPr>
        <w:t xml:space="preserve">חוצה לשם מימוש </w:t>
      </w:r>
      <w:r>
        <w:rPr>
          <w:rFonts w:cs="David" w:hint="cs"/>
          <w:sz w:val="24"/>
          <w:szCs w:val="24"/>
          <w:rtl/>
        </w:rPr>
        <w:t>מכירת עסק</w:t>
      </w:r>
      <w:r w:rsidR="005724CE">
        <w:rPr>
          <w:rFonts w:cs="David" w:hint="cs"/>
          <w:sz w:val="24"/>
          <w:szCs w:val="24"/>
          <w:rtl/>
        </w:rPr>
        <w:t xml:space="preserve">. </w:t>
      </w:r>
      <w:r w:rsidR="007154E7">
        <w:rPr>
          <w:rFonts w:cs="David" w:hint="cs"/>
          <w:sz w:val="24"/>
          <w:szCs w:val="24"/>
          <w:rtl/>
        </w:rPr>
        <w:t xml:space="preserve">כך, </w:t>
      </w:r>
      <w:r w:rsidR="005724CE">
        <w:rPr>
          <w:rFonts w:cs="David" w:hint="cs"/>
          <w:sz w:val="24"/>
          <w:szCs w:val="24"/>
          <w:rtl/>
        </w:rPr>
        <w:t>מוכר עסק</w:t>
      </w:r>
      <w:r>
        <w:rPr>
          <w:rFonts w:cs="David" w:hint="cs"/>
          <w:sz w:val="24"/>
          <w:szCs w:val="24"/>
          <w:rtl/>
        </w:rPr>
        <w:t xml:space="preserve"> עשוי להתחייב שלא להתחרות בעסק הנמכר במשך תקופה מ</w:t>
      </w:r>
      <w:r w:rsidR="00AA0299">
        <w:rPr>
          <w:rFonts w:cs="David" w:hint="cs"/>
          <w:sz w:val="24"/>
          <w:szCs w:val="24"/>
          <w:rtl/>
        </w:rPr>
        <w:t>וגדרת</w:t>
      </w:r>
      <w:r>
        <w:rPr>
          <w:rFonts w:cs="David" w:hint="cs"/>
          <w:sz w:val="24"/>
          <w:szCs w:val="24"/>
          <w:rtl/>
        </w:rPr>
        <w:t xml:space="preserve"> לאחר המכירה.</w:t>
      </w:r>
      <w:r w:rsidR="005724CE">
        <w:rPr>
          <w:rFonts w:cs="David" w:hint="cs"/>
          <w:sz w:val="24"/>
          <w:szCs w:val="24"/>
          <w:rtl/>
        </w:rPr>
        <w:t xml:space="preserve"> מקובל שההצדקה </w:t>
      </w:r>
      <w:proofErr w:type="spellStart"/>
      <w:r w:rsidR="005724CE">
        <w:rPr>
          <w:rFonts w:cs="David" w:hint="cs"/>
          <w:sz w:val="24"/>
          <w:szCs w:val="24"/>
          <w:rtl/>
        </w:rPr>
        <w:t>לתניית</w:t>
      </w:r>
      <w:proofErr w:type="spellEnd"/>
      <w:r w:rsidR="005724CE">
        <w:rPr>
          <w:rFonts w:cs="David" w:hint="cs"/>
          <w:sz w:val="24"/>
          <w:szCs w:val="24"/>
          <w:rtl/>
        </w:rPr>
        <w:t xml:space="preserve"> אי-</w:t>
      </w:r>
      <w:r w:rsidR="005724CE">
        <w:rPr>
          <w:rFonts w:cs="David" w:hint="cs"/>
          <w:sz w:val="24"/>
          <w:szCs w:val="24"/>
          <w:rtl/>
        </w:rPr>
        <w:lastRenderedPageBreak/>
        <w:t>תחרות מצד המוכר נעוצה בצורך</w:t>
      </w:r>
      <w:r w:rsidR="00400EA0">
        <w:rPr>
          <w:rFonts w:cs="David" w:hint="cs"/>
          <w:sz w:val="24"/>
          <w:szCs w:val="24"/>
          <w:rtl/>
        </w:rPr>
        <w:t xml:space="preserve"> להבטיח לקונה שתחרות מצד המוכר</w:t>
      </w:r>
      <w:r w:rsidR="005724CE">
        <w:rPr>
          <w:rFonts w:cs="David" w:hint="cs"/>
          <w:sz w:val="24"/>
          <w:szCs w:val="24"/>
          <w:rtl/>
        </w:rPr>
        <w:t xml:space="preserve"> לא </w:t>
      </w:r>
      <w:r w:rsidR="00400EA0">
        <w:rPr>
          <w:rFonts w:cs="David" w:hint="cs"/>
          <w:sz w:val="24"/>
          <w:szCs w:val="24"/>
          <w:rtl/>
        </w:rPr>
        <w:t>תפגע</w:t>
      </w:r>
      <w:r w:rsidR="005724CE">
        <w:rPr>
          <w:rFonts w:cs="David" w:hint="cs"/>
          <w:sz w:val="24"/>
          <w:szCs w:val="24"/>
          <w:rtl/>
        </w:rPr>
        <w:t xml:space="preserve"> בערך המוניטין </w:t>
      </w:r>
      <w:r w:rsidR="00AA0299">
        <w:rPr>
          <w:rFonts w:cs="David" w:hint="cs"/>
          <w:sz w:val="24"/>
          <w:szCs w:val="24"/>
          <w:rtl/>
        </w:rPr>
        <w:t>הנמכרים</w:t>
      </w:r>
      <w:r w:rsidR="005724CE">
        <w:rPr>
          <w:rFonts w:cs="David" w:hint="cs"/>
          <w:sz w:val="24"/>
          <w:szCs w:val="24"/>
          <w:rtl/>
        </w:rPr>
        <w:t xml:space="preserve"> כחלק מהעסק, כמו גם </w:t>
      </w:r>
      <w:r w:rsidR="00400EA0">
        <w:rPr>
          <w:rFonts w:cs="David" w:hint="cs"/>
          <w:sz w:val="24"/>
          <w:szCs w:val="24"/>
          <w:rtl/>
        </w:rPr>
        <w:t xml:space="preserve">בצורך להגן </w:t>
      </w:r>
      <w:r w:rsidR="005724CE">
        <w:rPr>
          <w:rFonts w:cs="David" w:hint="cs"/>
          <w:sz w:val="24"/>
          <w:szCs w:val="24"/>
          <w:rtl/>
        </w:rPr>
        <w:t>על ידע וסודות מסחריים הנמכרים כחלק מהעסק.</w:t>
      </w:r>
      <w:bookmarkStart w:id="30" w:name="_Ref494789162"/>
      <w:r w:rsidR="005724CE">
        <w:rPr>
          <w:rStyle w:val="FootnoteReference"/>
          <w:rFonts w:cs="David"/>
          <w:sz w:val="24"/>
          <w:szCs w:val="24"/>
          <w:rtl/>
        </w:rPr>
        <w:footnoteReference w:id="67"/>
      </w:r>
      <w:bookmarkEnd w:id="30"/>
      <w:r w:rsidR="005724CE">
        <w:rPr>
          <w:rFonts w:cs="David" w:hint="cs"/>
          <w:sz w:val="24"/>
          <w:szCs w:val="24"/>
          <w:rtl/>
        </w:rPr>
        <w:t xml:space="preserve"> </w:t>
      </w:r>
      <w:r w:rsidR="0019289E">
        <w:rPr>
          <w:rFonts w:cs="David" w:hint="cs"/>
          <w:sz w:val="24"/>
          <w:szCs w:val="24"/>
          <w:rtl/>
        </w:rPr>
        <w:t xml:space="preserve"> </w:t>
      </w:r>
    </w:p>
    <w:p w14:paraId="566261C1" w14:textId="50FA083D" w:rsidR="00BF72CE" w:rsidRDefault="009765F2" w:rsidP="00523D60">
      <w:pPr>
        <w:spacing w:before="120" w:after="0" w:line="360" w:lineRule="auto"/>
        <w:jc w:val="both"/>
        <w:rPr>
          <w:rFonts w:cs="David"/>
          <w:sz w:val="24"/>
          <w:szCs w:val="24"/>
          <w:rtl/>
        </w:rPr>
      </w:pPr>
      <w:r>
        <w:rPr>
          <w:rFonts w:cs="David" w:hint="cs"/>
          <w:sz w:val="24"/>
          <w:szCs w:val="24"/>
          <w:rtl/>
        </w:rPr>
        <w:t xml:space="preserve">כמובן, </w:t>
      </w:r>
      <w:proofErr w:type="spellStart"/>
      <w:r w:rsidR="00B87FCC">
        <w:rPr>
          <w:rFonts w:cs="David" w:hint="cs"/>
          <w:sz w:val="24"/>
          <w:szCs w:val="24"/>
          <w:rtl/>
        </w:rPr>
        <w:t>תניית</w:t>
      </w:r>
      <w:proofErr w:type="spellEnd"/>
      <w:r w:rsidR="00B87FCC">
        <w:rPr>
          <w:rFonts w:cs="David" w:hint="cs"/>
          <w:sz w:val="24"/>
          <w:szCs w:val="24"/>
          <w:rtl/>
        </w:rPr>
        <w:t xml:space="preserve"> אי-תחרות מצד מוכר עסק, על-מנת ש</w:t>
      </w:r>
      <w:r w:rsidR="00AC66FD">
        <w:rPr>
          <w:rFonts w:cs="David" w:hint="cs"/>
          <w:sz w:val="24"/>
          <w:szCs w:val="24"/>
          <w:rtl/>
        </w:rPr>
        <w:t xml:space="preserve">תעמוד בדרישות סע' 14(א)(2) סיפא, </w:t>
      </w:r>
      <w:r w:rsidR="00B87FCC">
        <w:rPr>
          <w:rFonts w:cs="David" w:hint="cs"/>
          <w:sz w:val="24"/>
          <w:szCs w:val="24"/>
          <w:rtl/>
        </w:rPr>
        <w:t xml:space="preserve"> חייבת לעמוד ברכיבים השונים של דרישת הנ</w:t>
      </w:r>
      <w:r w:rsidR="00AC66FD">
        <w:rPr>
          <w:rFonts w:cs="David" w:hint="cs"/>
          <w:sz w:val="24"/>
          <w:szCs w:val="24"/>
          <w:rtl/>
        </w:rPr>
        <w:t>חיצות</w:t>
      </w:r>
      <w:r w:rsidR="00B87FCC">
        <w:rPr>
          <w:rFonts w:cs="David" w:hint="cs"/>
          <w:sz w:val="24"/>
          <w:szCs w:val="24"/>
          <w:rtl/>
        </w:rPr>
        <w:t>,</w:t>
      </w:r>
      <w:r>
        <w:rPr>
          <w:rFonts w:cs="David" w:hint="cs"/>
          <w:sz w:val="24"/>
          <w:szCs w:val="24"/>
          <w:rtl/>
        </w:rPr>
        <w:t xml:space="preserve"> </w:t>
      </w:r>
      <w:proofErr w:type="spellStart"/>
      <w:r>
        <w:rPr>
          <w:rFonts w:cs="David" w:hint="cs"/>
          <w:sz w:val="24"/>
          <w:szCs w:val="24"/>
          <w:rtl/>
        </w:rPr>
        <w:t>הכל</w:t>
      </w:r>
      <w:proofErr w:type="spellEnd"/>
      <w:r>
        <w:rPr>
          <w:rFonts w:cs="David" w:hint="cs"/>
          <w:sz w:val="24"/>
          <w:szCs w:val="24"/>
          <w:rtl/>
        </w:rPr>
        <w:t xml:space="preserve"> כפי שפורט לעיל. </w:t>
      </w:r>
      <w:r w:rsidR="00B066A7">
        <w:rPr>
          <w:rFonts w:cs="David" w:hint="cs"/>
          <w:sz w:val="24"/>
          <w:szCs w:val="24"/>
          <w:rtl/>
        </w:rPr>
        <w:t xml:space="preserve">אותם שיקולים צריכים לתפוס מקום מרכזי גם </w:t>
      </w:r>
      <w:r w:rsidR="00955B34">
        <w:rPr>
          <w:rFonts w:cs="David" w:hint="cs"/>
          <w:sz w:val="24"/>
          <w:szCs w:val="24"/>
          <w:rtl/>
        </w:rPr>
        <w:t xml:space="preserve">כאשר באים לבחון האם </w:t>
      </w:r>
      <w:proofErr w:type="spellStart"/>
      <w:r w:rsidR="00955B34">
        <w:rPr>
          <w:rFonts w:cs="David" w:hint="cs"/>
          <w:sz w:val="24"/>
          <w:szCs w:val="24"/>
          <w:rtl/>
        </w:rPr>
        <w:t>תניית</w:t>
      </w:r>
      <w:proofErr w:type="spellEnd"/>
      <w:r w:rsidR="00955B34">
        <w:rPr>
          <w:rFonts w:cs="David" w:hint="cs"/>
          <w:sz w:val="24"/>
          <w:szCs w:val="24"/>
          <w:rtl/>
        </w:rPr>
        <w:t xml:space="preserve"> אי-תחרות עומד</w:t>
      </w:r>
      <w:r w:rsidR="00F755FA">
        <w:rPr>
          <w:rFonts w:cs="David" w:hint="cs"/>
          <w:sz w:val="24"/>
          <w:szCs w:val="24"/>
          <w:rtl/>
        </w:rPr>
        <w:t>ת</w:t>
      </w:r>
      <w:r w:rsidR="00955B34">
        <w:rPr>
          <w:rFonts w:cs="David" w:hint="cs"/>
          <w:sz w:val="24"/>
          <w:szCs w:val="24"/>
          <w:rtl/>
        </w:rPr>
        <w:t xml:space="preserve"> ב</w:t>
      </w:r>
      <w:r w:rsidR="00BF72CE">
        <w:rPr>
          <w:rFonts w:cs="David" w:hint="cs"/>
          <w:sz w:val="24"/>
          <w:szCs w:val="24"/>
          <w:rtl/>
        </w:rPr>
        <w:t>תנאי ס</w:t>
      </w:r>
      <w:r w:rsidR="00955B34">
        <w:rPr>
          <w:rFonts w:cs="David" w:hint="cs"/>
          <w:sz w:val="24"/>
          <w:szCs w:val="24"/>
          <w:rtl/>
        </w:rPr>
        <w:t>ע' 3(8) לחוק</w:t>
      </w:r>
      <w:r>
        <w:rPr>
          <w:rFonts w:cs="David" w:hint="cs"/>
          <w:sz w:val="24"/>
          <w:szCs w:val="24"/>
          <w:rtl/>
        </w:rPr>
        <w:t>.</w:t>
      </w:r>
      <w:r>
        <w:rPr>
          <w:rStyle w:val="FootnoteReference"/>
          <w:rFonts w:cs="David"/>
          <w:sz w:val="24"/>
          <w:szCs w:val="24"/>
          <w:rtl/>
        </w:rPr>
        <w:footnoteReference w:id="68"/>
      </w:r>
      <w:r>
        <w:rPr>
          <w:rFonts w:cs="David" w:hint="cs"/>
          <w:sz w:val="24"/>
          <w:szCs w:val="24"/>
          <w:rtl/>
        </w:rPr>
        <w:t xml:space="preserve"> </w:t>
      </w:r>
    </w:p>
    <w:p w14:paraId="53546388" w14:textId="47E74661" w:rsidR="005B0001" w:rsidRDefault="00FF3430" w:rsidP="00E365AE">
      <w:pPr>
        <w:spacing w:before="240" w:after="0" w:line="360" w:lineRule="auto"/>
        <w:jc w:val="both"/>
        <w:rPr>
          <w:rFonts w:cs="David"/>
          <w:sz w:val="24"/>
          <w:szCs w:val="24"/>
          <w:rtl/>
        </w:rPr>
      </w:pPr>
      <w:r>
        <w:rPr>
          <w:rFonts w:cs="David" w:hint="cs"/>
          <w:sz w:val="24"/>
          <w:szCs w:val="24"/>
          <w:rtl/>
        </w:rPr>
        <w:t xml:space="preserve">לעתים עולה השאלה האם ניתן לראות התחייבות של </w:t>
      </w:r>
      <w:r>
        <w:rPr>
          <w:rFonts w:cs="David" w:hint="cs"/>
          <w:sz w:val="24"/>
          <w:szCs w:val="24"/>
          <w:u w:val="single"/>
          <w:rtl/>
        </w:rPr>
        <w:t>רוכש</w:t>
      </w:r>
      <w:r>
        <w:rPr>
          <w:rFonts w:cs="David" w:hint="cs"/>
          <w:sz w:val="24"/>
          <w:szCs w:val="24"/>
          <w:rtl/>
        </w:rPr>
        <w:t xml:space="preserve"> עסק</w:t>
      </w:r>
      <w:r w:rsidR="005B0001">
        <w:rPr>
          <w:rFonts w:cs="David" w:hint="cs"/>
          <w:sz w:val="24"/>
          <w:szCs w:val="24"/>
          <w:rtl/>
        </w:rPr>
        <w:t xml:space="preserve"> </w:t>
      </w:r>
      <w:r w:rsidR="00E365AE">
        <w:rPr>
          <w:rFonts w:cs="David" w:hint="cs"/>
          <w:sz w:val="24"/>
          <w:szCs w:val="24"/>
          <w:rtl/>
        </w:rPr>
        <w:t>(</w:t>
      </w:r>
      <w:r w:rsidR="005B0001">
        <w:rPr>
          <w:rFonts w:cs="David" w:hint="cs"/>
          <w:sz w:val="24"/>
          <w:szCs w:val="24"/>
          <w:rtl/>
        </w:rPr>
        <w:t xml:space="preserve">או של </w:t>
      </w:r>
      <w:r w:rsidR="005B0001" w:rsidRPr="005B0001">
        <w:rPr>
          <w:rFonts w:cs="David" w:hint="cs"/>
          <w:sz w:val="24"/>
          <w:szCs w:val="24"/>
          <w:u w:val="single"/>
          <w:rtl/>
        </w:rPr>
        <w:t>העסק הנר</w:t>
      </w:r>
      <w:r w:rsidR="00AA0299">
        <w:rPr>
          <w:rFonts w:cs="David" w:hint="cs"/>
          <w:sz w:val="24"/>
          <w:szCs w:val="24"/>
          <w:u w:val="single"/>
          <w:rtl/>
        </w:rPr>
        <w:t>כש</w:t>
      </w:r>
      <w:r w:rsidR="00E365AE" w:rsidRPr="00752600">
        <w:rPr>
          <w:rFonts w:cs="David" w:hint="cs"/>
          <w:sz w:val="24"/>
          <w:szCs w:val="24"/>
          <w:rtl/>
        </w:rPr>
        <w:t>)</w:t>
      </w:r>
      <w:r>
        <w:rPr>
          <w:rFonts w:cs="David" w:hint="cs"/>
          <w:sz w:val="24"/>
          <w:szCs w:val="24"/>
          <w:rtl/>
        </w:rPr>
        <w:t xml:space="preserve"> שלא להתחרות בעסקי מוכר העסק</w:t>
      </w:r>
      <w:r w:rsidR="001528B5">
        <w:rPr>
          <w:rFonts w:cs="David" w:hint="cs"/>
          <w:sz w:val="24"/>
          <w:szCs w:val="24"/>
          <w:rtl/>
        </w:rPr>
        <w:t>, ככבילה הנחוצה לשם מימוש מכירתו של העסק</w:t>
      </w:r>
      <w:r w:rsidR="00393298">
        <w:rPr>
          <w:rFonts w:cs="David" w:hint="cs"/>
          <w:sz w:val="24"/>
          <w:szCs w:val="24"/>
          <w:rtl/>
        </w:rPr>
        <w:t xml:space="preserve">. </w:t>
      </w:r>
      <w:r>
        <w:rPr>
          <w:rFonts w:cs="David" w:hint="cs"/>
          <w:sz w:val="24"/>
          <w:szCs w:val="24"/>
          <w:rtl/>
        </w:rPr>
        <w:t>ככלל, התשובה לשאלה זו תהיה שלילית</w:t>
      </w:r>
      <w:r w:rsidR="007C617D">
        <w:rPr>
          <w:rFonts w:cs="David" w:hint="cs"/>
          <w:sz w:val="24"/>
          <w:szCs w:val="24"/>
          <w:rtl/>
        </w:rPr>
        <w:t>. התחייבות</w:t>
      </w:r>
      <w:r w:rsidR="00752600">
        <w:rPr>
          <w:rFonts w:cs="David" w:hint="cs"/>
          <w:sz w:val="24"/>
          <w:szCs w:val="24"/>
          <w:rtl/>
        </w:rPr>
        <w:t xml:space="preserve"> של</w:t>
      </w:r>
      <w:r w:rsidR="007C617D">
        <w:rPr>
          <w:rFonts w:cs="David" w:hint="cs"/>
          <w:sz w:val="24"/>
          <w:szCs w:val="24"/>
          <w:rtl/>
        </w:rPr>
        <w:t xml:space="preserve"> הרו</w:t>
      </w:r>
      <w:r w:rsidR="00AA0299">
        <w:rPr>
          <w:rFonts w:cs="David" w:hint="cs"/>
          <w:sz w:val="24"/>
          <w:szCs w:val="24"/>
          <w:rtl/>
        </w:rPr>
        <w:t>כ</w:t>
      </w:r>
      <w:r w:rsidR="007C617D">
        <w:rPr>
          <w:rFonts w:cs="David" w:hint="cs"/>
          <w:sz w:val="24"/>
          <w:szCs w:val="24"/>
          <w:rtl/>
        </w:rPr>
        <w:t>ש</w:t>
      </w:r>
      <w:r w:rsidR="00AA0299">
        <w:rPr>
          <w:rFonts w:cs="David" w:hint="cs"/>
          <w:sz w:val="24"/>
          <w:szCs w:val="24"/>
          <w:rtl/>
        </w:rPr>
        <w:t xml:space="preserve"> (או של העסק הנרכש)</w:t>
      </w:r>
      <w:r w:rsidR="007C617D">
        <w:rPr>
          <w:rFonts w:cs="David" w:hint="cs"/>
          <w:sz w:val="24"/>
          <w:szCs w:val="24"/>
          <w:rtl/>
        </w:rPr>
        <w:t xml:space="preserve"> לאי-תחרות</w:t>
      </w:r>
      <w:r w:rsidR="00AA0299">
        <w:rPr>
          <w:rFonts w:cs="David" w:hint="cs"/>
          <w:sz w:val="24"/>
          <w:szCs w:val="24"/>
          <w:rtl/>
        </w:rPr>
        <w:t xml:space="preserve"> בעסק</w:t>
      </w:r>
      <w:r w:rsidR="0028453C">
        <w:rPr>
          <w:rFonts w:cs="David" w:hint="cs"/>
          <w:sz w:val="24"/>
          <w:szCs w:val="24"/>
          <w:rtl/>
        </w:rPr>
        <w:t>י</w:t>
      </w:r>
      <w:r w:rsidR="00AA0299">
        <w:rPr>
          <w:rFonts w:cs="David" w:hint="cs"/>
          <w:sz w:val="24"/>
          <w:szCs w:val="24"/>
          <w:rtl/>
        </w:rPr>
        <w:t xml:space="preserve"> המוכר</w:t>
      </w:r>
      <w:r w:rsidR="007C617D">
        <w:rPr>
          <w:rFonts w:cs="David" w:hint="cs"/>
          <w:sz w:val="24"/>
          <w:szCs w:val="24"/>
          <w:rtl/>
        </w:rPr>
        <w:t xml:space="preserve"> אינה רלוונטית להגנה על ערכו של העסק הנרכש, ולכן היא</w:t>
      </w:r>
      <w:r>
        <w:rPr>
          <w:rFonts w:cs="David" w:hint="cs"/>
          <w:sz w:val="24"/>
          <w:szCs w:val="24"/>
          <w:rtl/>
        </w:rPr>
        <w:t xml:space="preserve"> </w:t>
      </w:r>
      <w:r w:rsidR="00CD3E6A">
        <w:rPr>
          <w:rFonts w:cs="David" w:hint="cs"/>
          <w:sz w:val="24"/>
          <w:szCs w:val="24"/>
          <w:rtl/>
        </w:rPr>
        <w:t xml:space="preserve">לא </w:t>
      </w:r>
      <w:r>
        <w:rPr>
          <w:rFonts w:cs="David" w:hint="cs"/>
          <w:sz w:val="24"/>
          <w:szCs w:val="24"/>
          <w:rtl/>
        </w:rPr>
        <w:t xml:space="preserve">תיחשב ככבילה </w:t>
      </w:r>
      <w:r w:rsidR="00CD3E6A">
        <w:rPr>
          <w:rFonts w:cs="David" w:hint="cs"/>
          <w:sz w:val="24"/>
          <w:szCs w:val="24"/>
          <w:rtl/>
        </w:rPr>
        <w:t>הנחוצה למימוש מכירת העסק</w:t>
      </w:r>
      <w:r w:rsidR="007C617D">
        <w:rPr>
          <w:rFonts w:cs="David" w:hint="cs"/>
          <w:sz w:val="24"/>
          <w:szCs w:val="24"/>
          <w:rtl/>
        </w:rPr>
        <w:t>.</w:t>
      </w:r>
      <w:r w:rsidR="007C617D">
        <w:rPr>
          <w:rStyle w:val="FootnoteReference"/>
          <w:rFonts w:cs="David"/>
          <w:sz w:val="24"/>
          <w:szCs w:val="24"/>
          <w:rtl/>
        </w:rPr>
        <w:footnoteReference w:id="69"/>
      </w:r>
      <w:r w:rsidR="007C617D">
        <w:rPr>
          <w:rFonts w:cs="David" w:hint="cs"/>
          <w:sz w:val="24"/>
          <w:szCs w:val="24"/>
          <w:rtl/>
        </w:rPr>
        <w:t xml:space="preserve"> </w:t>
      </w:r>
      <w:r w:rsidR="002E247C">
        <w:rPr>
          <w:rFonts w:cs="David" w:hint="cs"/>
          <w:sz w:val="24"/>
          <w:szCs w:val="24"/>
          <w:rtl/>
        </w:rPr>
        <w:t xml:space="preserve"> </w:t>
      </w:r>
    </w:p>
    <w:p w14:paraId="677B2A73" w14:textId="33C98098" w:rsidR="00FB5B94" w:rsidRDefault="002E247C" w:rsidP="00CD3E6A">
      <w:pPr>
        <w:spacing w:before="240" w:after="0" w:line="360" w:lineRule="auto"/>
        <w:jc w:val="both"/>
        <w:rPr>
          <w:rFonts w:cs="David"/>
          <w:sz w:val="24"/>
          <w:szCs w:val="24"/>
          <w:rtl/>
        </w:rPr>
      </w:pPr>
      <w:r>
        <w:rPr>
          <w:rFonts w:cs="David" w:hint="cs"/>
          <w:sz w:val="24"/>
          <w:szCs w:val="24"/>
          <w:rtl/>
        </w:rPr>
        <w:t xml:space="preserve">עם זאת, </w:t>
      </w:r>
      <w:r w:rsidR="00FB5B94">
        <w:rPr>
          <w:rFonts w:cs="David" w:hint="cs"/>
          <w:sz w:val="24"/>
          <w:szCs w:val="24"/>
          <w:rtl/>
        </w:rPr>
        <w:t>כאשר נמכר חלק בלבד ממניותיה של חברה ומוכר המניות (אשר ממשיך להחזיק בחלק ממניות החברה) ורוכש המניות הופכים להיות בעלים משותפים של החברה ומשתפים פעולה בניהולה, יתכן שגם רוכש המניות יוכל לקחת על עצמו התחייבויות אשר ייחשבו ככבילות הנ</w:t>
      </w:r>
      <w:r w:rsidR="00CD3E6A">
        <w:rPr>
          <w:rFonts w:cs="David" w:hint="cs"/>
          <w:sz w:val="24"/>
          <w:szCs w:val="24"/>
          <w:rtl/>
        </w:rPr>
        <w:t xml:space="preserve">חוצות למימוש </w:t>
      </w:r>
      <w:r w:rsidR="008D16BA">
        <w:rPr>
          <w:rFonts w:cs="David" w:hint="cs"/>
          <w:sz w:val="24"/>
          <w:szCs w:val="24"/>
          <w:rtl/>
        </w:rPr>
        <w:t xml:space="preserve">מיזם משותף של </w:t>
      </w:r>
      <w:r w:rsidR="00FB5B94">
        <w:rPr>
          <w:rFonts w:cs="David" w:hint="cs"/>
          <w:sz w:val="24"/>
          <w:szCs w:val="24"/>
          <w:rtl/>
        </w:rPr>
        <w:t xml:space="preserve">ניהול החברה (ולא </w:t>
      </w:r>
      <w:r w:rsidR="008D16BA">
        <w:rPr>
          <w:rFonts w:cs="David" w:hint="cs"/>
          <w:sz w:val="24"/>
          <w:szCs w:val="24"/>
          <w:rtl/>
        </w:rPr>
        <w:t>כנ</w:t>
      </w:r>
      <w:r w:rsidR="00CD3E6A">
        <w:rPr>
          <w:rFonts w:cs="David" w:hint="cs"/>
          <w:sz w:val="24"/>
          <w:szCs w:val="24"/>
          <w:rtl/>
        </w:rPr>
        <w:t>חוצות למימוש</w:t>
      </w:r>
      <w:r w:rsidR="008D16BA">
        <w:rPr>
          <w:rFonts w:cs="David" w:hint="cs"/>
          <w:sz w:val="24"/>
          <w:szCs w:val="24"/>
          <w:rtl/>
        </w:rPr>
        <w:t xml:space="preserve"> </w:t>
      </w:r>
      <w:r w:rsidR="00FB5B94">
        <w:rPr>
          <w:rFonts w:cs="David" w:hint="cs"/>
          <w:sz w:val="24"/>
          <w:szCs w:val="24"/>
          <w:rtl/>
        </w:rPr>
        <w:t>עסקת מכירת המניות), אם מתקיימים לגבי התחייבויות אלה כל הדרישות שפורטו לעיל.</w:t>
      </w:r>
      <w:r w:rsidR="00CD3E6A">
        <w:rPr>
          <w:rStyle w:val="FootnoteReference"/>
          <w:rFonts w:cs="David"/>
          <w:sz w:val="24"/>
          <w:szCs w:val="24"/>
          <w:rtl/>
        </w:rPr>
        <w:footnoteReference w:id="70"/>
      </w:r>
    </w:p>
    <w:p w14:paraId="297999B7" w14:textId="02153E3B" w:rsidR="009D78E7" w:rsidRDefault="009D78E7" w:rsidP="009D78E7">
      <w:pPr>
        <w:pStyle w:val="Heading2"/>
        <w:rPr>
          <w:rtl/>
        </w:rPr>
      </w:pPr>
      <w:r>
        <w:rPr>
          <w:rFonts w:hint="cs"/>
          <w:rtl/>
        </w:rPr>
        <w:t xml:space="preserve">בוחנים את מהותו </w:t>
      </w:r>
      <w:proofErr w:type="spellStart"/>
      <w:r>
        <w:rPr>
          <w:rFonts w:hint="cs"/>
          <w:rtl/>
        </w:rPr>
        <w:t>האמיתית</w:t>
      </w:r>
      <w:proofErr w:type="spellEnd"/>
      <w:r>
        <w:rPr>
          <w:rFonts w:hint="cs"/>
          <w:rtl/>
        </w:rPr>
        <w:t xml:space="preserve"> של ההסדר</w:t>
      </w:r>
    </w:p>
    <w:p w14:paraId="2267C5A0" w14:textId="4CF8F5A6" w:rsidR="009D78E7" w:rsidRPr="009D78E7" w:rsidRDefault="009D78E7" w:rsidP="00CA77E2">
      <w:pPr>
        <w:spacing w:before="240" w:after="0" w:line="360" w:lineRule="auto"/>
        <w:jc w:val="both"/>
        <w:rPr>
          <w:rFonts w:cs="David"/>
          <w:sz w:val="24"/>
          <w:szCs w:val="24"/>
          <w:rtl/>
        </w:rPr>
      </w:pPr>
      <w:r>
        <w:rPr>
          <w:rFonts w:cs="David" w:hint="cs"/>
          <w:sz w:val="24"/>
          <w:szCs w:val="24"/>
          <w:rtl/>
        </w:rPr>
        <w:t xml:space="preserve">כאשר בוחנים את התקיימות הדרישות של סע' 14(א)(2), בוחנים את מהות ההסדר לגופו, ולא את התווית או את הכותרת שתחתיה מבקשים הצדדים לסווג את ההסדר. כך, למשל, הסדר בין מתחרים אשר כותרתו היא </w:t>
      </w:r>
      <w:r>
        <w:rPr>
          <w:rFonts w:cs="David" w:hint="cs"/>
          <w:b/>
          <w:bCs/>
          <w:sz w:val="24"/>
          <w:szCs w:val="24"/>
          <w:rtl/>
        </w:rPr>
        <w:t>"מיזם משותף לשיווק"</w:t>
      </w:r>
      <w:r w:rsidR="0015159A">
        <w:rPr>
          <w:rFonts w:cs="David" w:hint="cs"/>
          <w:sz w:val="24"/>
          <w:szCs w:val="24"/>
          <w:rtl/>
        </w:rPr>
        <w:t>, אשר תכליתו העיקרית היא קביעת מחיר משותפת למוצרי המתחרים, הינו הסדר שעיקרו בהפחתת התחרות או במניעתה, על-אף הכותרת הלגיטימית כביכול.</w:t>
      </w:r>
      <w:r w:rsidR="0015159A">
        <w:rPr>
          <w:rStyle w:val="FootnoteReference"/>
          <w:rFonts w:cs="David"/>
          <w:sz w:val="24"/>
          <w:szCs w:val="24"/>
          <w:rtl/>
        </w:rPr>
        <w:footnoteReference w:id="71"/>
      </w:r>
      <w:r w:rsidR="00CA77E2">
        <w:rPr>
          <w:rFonts w:cs="David" w:hint="cs"/>
          <w:sz w:val="24"/>
          <w:szCs w:val="24"/>
          <w:rtl/>
        </w:rPr>
        <w:t xml:space="preserve"> בחינת מהותו </w:t>
      </w:r>
      <w:proofErr w:type="spellStart"/>
      <w:r w:rsidR="00CA77E2">
        <w:rPr>
          <w:rFonts w:cs="David" w:hint="cs"/>
          <w:sz w:val="24"/>
          <w:szCs w:val="24"/>
          <w:rtl/>
        </w:rPr>
        <w:t>האמיתית</w:t>
      </w:r>
      <w:proofErr w:type="spellEnd"/>
      <w:r w:rsidR="00CA77E2">
        <w:rPr>
          <w:rFonts w:cs="David" w:hint="cs"/>
          <w:sz w:val="24"/>
          <w:szCs w:val="24"/>
          <w:rtl/>
        </w:rPr>
        <w:t xml:space="preserve"> של ההסדר אינה מצטמצמת לארבע אמותיו של  ההסכם הכתוב; ככל שההסדר </w:t>
      </w:r>
      <w:proofErr w:type="spellStart"/>
      <w:r w:rsidR="00CA77E2">
        <w:rPr>
          <w:rFonts w:cs="David" w:hint="cs"/>
          <w:sz w:val="24"/>
          <w:szCs w:val="24"/>
          <w:rtl/>
        </w:rPr>
        <w:t>האמיתי</w:t>
      </w:r>
      <w:proofErr w:type="spellEnd"/>
      <w:r w:rsidR="00CA77E2">
        <w:rPr>
          <w:rFonts w:cs="David" w:hint="cs"/>
          <w:sz w:val="24"/>
          <w:szCs w:val="24"/>
          <w:rtl/>
        </w:rPr>
        <w:t xml:space="preserve"> בין הצדדים שונה מן ההסכם הכתוב, יש לבחון את </w:t>
      </w:r>
      <w:r w:rsidR="00CA77E2">
        <w:rPr>
          <w:rFonts w:cs="David" w:hint="cs"/>
          <w:sz w:val="24"/>
          <w:szCs w:val="24"/>
          <w:rtl/>
        </w:rPr>
        <w:lastRenderedPageBreak/>
        <w:t xml:space="preserve">ההסדר </w:t>
      </w:r>
      <w:proofErr w:type="spellStart"/>
      <w:r w:rsidR="00CA77E2">
        <w:rPr>
          <w:rFonts w:cs="David" w:hint="cs"/>
          <w:sz w:val="24"/>
          <w:szCs w:val="24"/>
          <w:rtl/>
        </w:rPr>
        <w:t>האמיתי</w:t>
      </w:r>
      <w:proofErr w:type="spellEnd"/>
      <w:r w:rsidR="00CA77E2">
        <w:rPr>
          <w:rFonts w:cs="David" w:hint="cs"/>
          <w:sz w:val="24"/>
          <w:szCs w:val="24"/>
          <w:rtl/>
        </w:rPr>
        <w:t xml:space="preserve"> ולא מה שכתבו הצדדים.</w:t>
      </w:r>
      <w:r w:rsidR="00CA77E2">
        <w:rPr>
          <w:rStyle w:val="FootnoteReference"/>
          <w:rFonts w:cs="David"/>
          <w:sz w:val="24"/>
          <w:szCs w:val="24"/>
          <w:rtl/>
        </w:rPr>
        <w:footnoteReference w:id="72"/>
      </w:r>
      <w:r w:rsidR="0015159A">
        <w:rPr>
          <w:rFonts w:cs="David" w:hint="cs"/>
          <w:sz w:val="24"/>
          <w:szCs w:val="24"/>
          <w:rtl/>
        </w:rPr>
        <w:t xml:space="preserve"> הבחינה נעשית על-פי נסיבותיו הקונקרטיות בפועל של כל מקרה ומקרה, ולא לפי סוג ההסדר בלבד.</w:t>
      </w:r>
      <w:r w:rsidR="0015159A">
        <w:rPr>
          <w:rStyle w:val="FootnoteReference"/>
          <w:rFonts w:cs="David"/>
          <w:sz w:val="24"/>
          <w:szCs w:val="24"/>
          <w:rtl/>
        </w:rPr>
        <w:footnoteReference w:id="73"/>
      </w:r>
    </w:p>
    <w:p w14:paraId="7B187A01" w14:textId="3C1E010F" w:rsidR="00042320" w:rsidRPr="00042320" w:rsidRDefault="004647E4" w:rsidP="00242B4E">
      <w:pPr>
        <w:pStyle w:val="Heading2"/>
        <w:rPr>
          <w:rtl/>
        </w:rPr>
      </w:pPr>
      <w:bookmarkStart w:id="31" w:name="_Ref496262588"/>
      <w:r w:rsidRPr="004647E4">
        <w:rPr>
          <w:rFonts w:hint="cs"/>
          <w:u w:val="none"/>
          <w:rtl/>
        </w:rPr>
        <w:tab/>
      </w:r>
      <w:r w:rsidR="00042320">
        <w:rPr>
          <w:rFonts w:hint="cs"/>
          <w:rtl/>
        </w:rPr>
        <w:t>היחס בין סע' 14(א)(2) לבין סע' 14(א)(1)</w:t>
      </w:r>
      <w:bookmarkEnd w:id="31"/>
    </w:p>
    <w:p w14:paraId="3F688DB3" w14:textId="2171F784" w:rsidR="00F04969" w:rsidRDefault="007855D9" w:rsidP="00F04969">
      <w:pPr>
        <w:spacing w:before="120" w:after="0" w:line="360" w:lineRule="auto"/>
        <w:jc w:val="both"/>
        <w:rPr>
          <w:rFonts w:cs="David"/>
          <w:sz w:val="24"/>
          <w:szCs w:val="24"/>
          <w:rtl/>
        </w:rPr>
      </w:pPr>
      <w:r>
        <w:rPr>
          <w:rFonts w:cs="David" w:hint="cs"/>
          <w:sz w:val="24"/>
          <w:szCs w:val="24"/>
          <w:rtl/>
        </w:rPr>
        <w:t xml:space="preserve">גילוי-דעת זה עוסק בפרשנותו של סע' 14(א)(2) לחוק. חשוב </w:t>
      </w:r>
      <w:r w:rsidR="00A20D24">
        <w:rPr>
          <w:rFonts w:cs="David" w:hint="cs"/>
          <w:sz w:val="24"/>
          <w:szCs w:val="24"/>
          <w:rtl/>
        </w:rPr>
        <w:t>לחזור ו</w:t>
      </w:r>
      <w:r>
        <w:rPr>
          <w:rFonts w:cs="David" w:hint="cs"/>
          <w:sz w:val="24"/>
          <w:szCs w:val="24"/>
          <w:rtl/>
        </w:rPr>
        <w:t>להדגיש, כי לא די ב</w:t>
      </w:r>
      <w:r w:rsidR="003911B3">
        <w:rPr>
          <w:rFonts w:cs="David" w:hint="cs"/>
          <w:sz w:val="24"/>
          <w:szCs w:val="24"/>
          <w:rtl/>
        </w:rPr>
        <w:t xml:space="preserve">קביעה שהסדר עומד בדרישות סע' 14(א)(2) </w:t>
      </w:r>
      <w:r>
        <w:rPr>
          <w:rFonts w:cs="David" w:hint="cs"/>
          <w:sz w:val="24"/>
          <w:szCs w:val="24"/>
          <w:rtl/>
        </w:rPr>
        <w:t xml:space="preserve"> על-מנת להכשיר </w:t>
      </w:r>
      <w:r w:rsidR="003911B3">
        <w:rPr>
          <w:rFonts w:cs="David" w:hint="cs"/>
          <w:sz w:val="24"/>
          <w:szCs w:val="24"/>
          <w:rtl/>
        </w:rPr>
        <w:t>אותו</w:t>
      </w:r>
      <w:r>
        <w:rPr>
          <w:rFonts w:cs="David" w:hint="cs"/>
          <w:sz w:val="24"/>
          <w:szCs w:val="24"/>
          <w:rtl/>
        </w:rPr>
        <w:t>. סמכות הפטור של הממונה מותנית גם בהתקיימות סע' 14(א)(1) לחוק, העוסק במידת פגיעתו של ההסדר בתחרות</w:t>
      </w:r>
      <w:r w:rsidR="00F04969">
        <w:rPr>
          <w:rFonts w:cs="David" w:hint="cs"/>
          <w:sz w:val="24"/>
          <w:szCs w:val="24"/>
          <w:rtl/>
        </w:rPr>
        <w:t>:</w:t>
      </w:r>
      <w:r>
        <w:rPr>
          <w:rFonts w:cs="David" w:hint="cs"/>
          <w:sz w:val="24"/>
          <w:szCs w:val="24"/>
          <w:rtl/>
        </w:rPr>
        <w:t xml:space="preserve"> </w:t>
      </w:r>
    </w:p>
    <w:p w14:paraId="65776DC4" w14:textId="77777777" w:rsidR="00F04969" w:rsidRPr="00A43546" w:rsidRDefault="00F04969" w:rsidP="009557D4">
      <w:pPr>
        <w:pStyle w:val="Quote"/>
        <w:rPr>
          <w:rStyle w:val="default"/>
          <w:rFonts w:cs="David"/>
          <w:b w:val="0"/>
          <w:bCs w:val="0"/>
          <w:sz w:val="24"/>
          <w:szCs w:val="24"/>
          <w:rtl/>
        </w:rPr>
      </w:pPr>
      <w:r w:rsidRPr="00A43546">
        <w:rPr>
          <w:rStyle w:val="default"/>
          <w:rFonts w:cs="David"/>
          <w:sz w:val="24"/>
          <w:szCs w:val="24"/>
          <w:rtl/>
        </w:rPr>
        <w:t>ה</w:t>
      </w:r>
      <w:r w:rsidRPr="00A43546">
        <w:rPr>
          <w:rStyle w:val="default"/>
          <w:rFonts w:cs="David" w:hint="eastAsia"/>
          <w:sz w:val="24"/>
          <w:szCs w:val="24"/>
          <w:rtl/>
        </w:rPr>
        <w:t>כבילות</w:t>
      </w:r>
      <w:r w:rsidRPr="00A43546">
        <w:rPr>
          <w:rStyle w:val="default"/>
          <w:rFonts w:cs="David"/>
          <w:sz w:val="24"/>
          <w:szCs w:val="24"/>
          <w:rtl/>
        </w:rPr>
        <w:t xml:space="preserve"> </w:t>
      </w:r>
      <w:r w:rsidRPr="00A43546">
        <w:rPr>
          <w:rStyle w:val="default"/>
          <w:rFonts w:cs="David" w:hint="eastAsia"/>
          <w:sz w:val="24"/>
          <w:szCs w:val="24"/>
          <w:rtl/>
        </w:rPr>
        <w:t>שבהסדר</w:t>
      </w:r>
      <w:r w:rsidRPr="00A43546">
        <w:rPr>
          <w:rStyle w:val="default"/>
          <w:rFonts w:cs="David"/>
          <w:sz w:val="24"/>
          <w:szCs w:val="24"/>
          <w:rtl/>
        </w:rPr>
        <w:t xml:space="preserve"> </w:t>
      </w:r>
      <w:r w:rsidRPr="00A43546">
        <w:rPr>
          <w:rStyle w:val="default"/>
          <w:rFonts w:cs="David" w:hint="eastAsia"/>
          <w:sz w:val="24"/>
          <w:szCs w:val="24"/>
          <w:rtl/>
        </w:rPr>
        <w:t>הכובל</w:t>
      </w:r>
      <w:r w:rsidRPr="00A43546">
        <w:rPr>
          <w:rStyle w:val="default"/>
          <w:rFonts w:cs="David"/>
          <w:sz w:val="24"/>
          <w:szCs w:val="24"/>
          <w:rtl/>
        </w:rPr>
        <w:t xml:space="preserve"> </w:t>
      </w:r>
      <w:r w:rsidRPr="00A43546">
        <w:rPr>
          <w:rStyle w:val="default"/>
          <w:rFonts w:cs="David" w:hint="eastAsia"/>
          <w:sz w:val="24"/>
          <w:szCs w:val="24"/>
          <w:rtl/>
        </w:rPr>
        <w:t>אינן</w:t>
      </w:r>
      <w:r w:rsidRPr="00A43546">
        <w:rPr>
          <w:rStyle w:val="default"/>
          <w:rFonts w:cs="David"/>
          <w:sz w:val="24"/>
          <w:szCs w:val="24"/>
          <w:rtl/>
        </w:rPr>
        <w:t xml:space="preserve"> </w:t>
      </w:r>
      <w:r w:rsidRPr="00A43546">
        <w:rPr>
          <w:rStyle w:val="default"/>
          <w:rFonts w:cs="David" w:hint="eastAsia"/>
          <w:sz w:val="24"/>
          <w:szCs w:val="24"/>
          <w:rtl/>
        </w:rPr>
        <w:t>מגבילות</w:t>
      </w:r>
      <w:r w:rsidRPr="00A43546">
        <w:rPr>
          <w:rStyle w:val="default"/>
          <w:rFonts w:cs="David"/>
          <w:sz w:val="24"/>
          <w:szCs w:val="24"/>
          <w:rtl/>
        </w:rPr>
        <w:t xml:space="preserve"> </w:t>
      </w:r>
      <w:r w:rsidRPr="00A43546">
        <w:rPr>
          <w:rStyle w:val="default"/>
          <w:rFonts w:cs="David" w:hint="eastAsia"/>
          <w:sz w:val="24"/>
          <w:szCs w:val="24"/>
          <w:rtl/>
        </w:rPr>
        <w:t>את</w:t>
      </w:r>
      <w:r w:rsidRPr="00A43546">
        <w:rPr>
          <w:rStyle w:val="default"/>
          <w:rFonts w:cs="David"/>
          <w:sz w:val="24"/>
          <w:szCs w:val="24"/>
          <w:rtl/>
        </w:rPr>
        <w:t xml:space="preserve"> </w:t>
      </w:r>
      <w:r w:rsidRPr="00A43546">
        <w:rPr>
          <w:rStyle w:val="default"/>
          <w:rFonts w:cs="David" w:hint="eastAsia"/>
          <w:sz w:val="24"/>
          <w:szCs w:val="24"/>
          <w:rtl/>
        </w:rPr>
        <w:t>התחרות</w:t>
      </w:r>
      <w:r w:rsidRPr="00A43546">
        <w:rPr>
          <w:rStyle w:val="default"/>
          <w:rFonts w:cs="David"/>
          <w:sz w:val="24"/>
          <w:szCs w:val="24"/>
          <w:rtl/>
        </w:rPr>
        <w:t xml:space="preserve"> </w:t>
      </w:r>
      <w:r w:rsidRPr="00A43546">
        <w:rPr>
          <w:rStyle w:val="default"/>
          <w:rFonts w:cs="David" w:hint="eastAsia"/>
          <w:sz w:val="24"/>
          <w:szCs w:val="24"/>
          <w:rtl/>
        </w:rPr>
        <w:t>בחלק</w:t>
      </w:r>
      <w:r w:rsidRPr="00A43546">
        <w:rPr>
          <w:rStyle w:val="default"/>
          <w:rFonts w:cs="David"/>
          <w:sz w:val="24"/>
          <w:szCs w:val="24"/>
          <w:rtl/>
        </w:rPr>
        <w:t xml:space="preserve"> </w:t>
      </w:r>
      <w:r w:rsidRPr="00A43546">
        <w:rPr>
          <w:rStyle w:val="default"/>
          <w:rFonts w:cs="David" w:hint="eastAsia"/>
          <w:sz w:val="24"/>
          <w:szCs w:val="24"/>
          <w:rtl/>
        </w:rPr>
        <w:t>ניכר</w:t>
      </w:r>
      <w:r w:rsidRPr="00A43546">
        <w:rPr>
          <w:rStyle w:val="default"/>
          <w:rFonts w:cs="David"/>
          <w:sz w:val="24"/>
          <w:szCs w:val="24"/>
          <w:rtl/>
        </w:rPr>
        <w:t xml:space="preserve"> </w:t>
      </w:r>
      <w:r w:rsidRPr="00A43546">
        <w:rPr>
          <w:rStyle w:val="default"/>
          <w:rFonts w:cs="David" w:hint="eastAsia"/>
          <w:sz w:val="24"/>
          <w:szCs w:val="24"/>
          <w:rtl/>
        </w:rPr>
        <w:t>של</w:t>
      </w:r>
      <w:r w:rsidRPr="00A43546">
        <w:rPr>
          <w:rStyle w:val="default"/>
          <w:rFonts w:cs="David"/>
          <w:sz w:val="24"/>
          <w:szCs w:val="24"/>
          <w:rtl/>
        </w:rPr>
        <w:t xml:space="preserve"> </w:t>
      </w:r>
      <w:r w:rsidRPr="00A43546">
        <w:rPr>
          <w:rStyle w:val="default"/>
          <w:rFonts w:cs="David" w:hint="eastAsia"/>
          <w:sz w:val="24"/>
          <w:szCs w:val="24"/>
          <w:rtl/>
        </w:rPr>
        <w:t>שוק</w:t>
      </w:r>
      <w:r w:rsidRPr="00A43546">
        <w:rPr>
          <w:rStyle w:val="default"/>
          <w:rFonts w:cs="David"/>
          <w:sz w:val="24"/>
          <w:szCs w:val="24"/>
          <w:rtl/>
        </w:rPr>
        <w:t xml:space="preserve"> </w:t>
      </w:r>
      <w:r w:rsidRPr="00A43546">
        <w:rPr>
          <w:rStyle w:val="default"/>
          <w:rFonts w:cs="David" w:hint="eastAsia"/>
          <w:sz w:val="24"/>
          <w:szCs w:val="24"/>
          <w:rtl/>
        </w:rPr>
        <w:t>המושפע</w:t>
      </w:r>
      <w:r w:rsidRPr="00A43546">
        <w:rPr>
          <w:rStyle w:val="default"/>
          <w:rFonts w:cs="David"/>
          <w:sz w:val="24"/>
          <w:szCs w:val="24"/>
          <w:rtl/>
        </w:rPr>
        <w:t xml:space="preserve"> </w:t>
      </w:r>
      <w:r w:rsidRPr="00A43546">
        <w:rPr>
          <w:rStyle w:val="default"/>
          <w:rFonts w:cs="David" w:hint="eastAsia"/>
          <w:sz w:val="24"/>
          <w:szCs w:val="24"/>
          <w:rtl/>
        </w:rPr>
        <w:t>מן</w:t>
      </w:r>
      <w:r w:rsidRPr="00A43546">
        <w:rPr>
          <w:rStyle w:val="default"/>
          <w:rFonts w:cs="David"/>
          <w:sz w:val="24"/>
          <w:szCs w:val="24"/>
          <w:rtl/>
        </w:rPr>
        <w:t xml:space="preserve"> </w:t>
      </w:r>
      <w:r w:rsidRPr="00A43546">
        <w:rPr>
          <w:rStyle w:val="default"/>
          <w:rFonts w:cs="David" w:hint="eastAsia"/>
          <w:sz w:val="24"/>
          <w:szCs w:val="24"/>
          <w:rtl/>
        </w:rPr>
        <w:t>ההסדר</w:t>
      </w:r>
      <w:r w:rsidRPr="00A43546">
        <w:rPr>
          <w:rStyle w:val="default"/>
          <w:rFonts w:cs="David"/>
          <w:sz w:val="24"/>
          <w:szCs w:val="24"/>
          <w:rtl/>
        </w:rPr>
        <w:t xml:space="preserve">, </w:t>
      </w:r>
      <w:r w:rsidRPr="00A43546">
        <w:rPr>
          <w:rStyle w:val="default"/>
          <w:rFonts w:cs="David" w:hint="eastAsia"/>
          <w:sz w:val="24"/>
          <w:szCs w:val="24"/>
          <w:rtl/>
        </w:rPr>
        <w:t>או</w:t>
      </w:r>
      <w:r w:rsidRPr="00A43546">
        <w:rPr>
          <w:rStyle w:val="default"/>
          <w:rFonts w:cs="David"/>
          <w:sz w:val="24"/>
          <w:szCs w:val="24"/>
          <w:rtl/>
        </w:rPr>
        <w:t xml:space="preserve"> </w:t>
      </w:r>
      <w:r w:rsidRPr="00A43546">
        <w:rPr>
          <w:rStyle w:val="default"/>
          <w:rFonts w:cs="David" w:hint="eastAsia"/>
          <w:sz w:val="24"/>
          <w:szCs w:val="24"/>
          <w:rtl/>
        </w:rPr>
        <w:t>שהן</w:t>
      </w:r>
      <w:r w:rsidRPr="00A43546">
        <w:rPr>
          <w:rStyle w:val="default"/>
          <w:rFonts w:cs="David"/>
          <w:sz w:val="24"/>
          <w:szCs w:val="24"/>
          <w:rtl/>
        </w:rPr>
        <w:t xml:space="preserve"> </w:t>
      </w:r>
      <w:r w:rsidRPr="00A43546">
        <w:rPr>
          <w:rStyle w:val="default"/>
          <w:rFonts w:cs="David" w:hint="eastAsia"/>
          <w:sz w:val="24"/>
          <w:szCs w:val="24"/>
          <w:rtl/>
        </w:rPr>
        <w:t>עלולות</w:t>
      </w:r>
      <w:r w:rsidRPr="00A43546">
        <w:rPr>
          <w:rStyle w:val="default"/>
          <w:rFonts w:cs="David"/>
          <w:sz w:val="24"/>
          <w:szCs w:val="24"/>
          <w:rtl/>
        </w:rPr>
        <w:t xml:space="preserve"> </w:t>
      </w:r>
      <w:r w:rsidRPr="00A43546">
        <w:rPr>
          <w:rStyle w:val="default"/>
          <w:rFonts w:cs="David" w:hint="eastAsia"/>
          <w:sz w:val="24"/>
          <w:szCs w:val="24"/>
          <w:rtl/>
        </w:rPr>
        <w:t>להגביל</w:t>
      </w:r>
      <w:r w:rsidRPr="00A43546">
        <w:rPr>
          <w:rStyle w:val="default"/>
          <w:rFonts w:cs="David"/>
          <w:sz w:val="24"/>
          <w:szCs w:val="24"/>
          <w:rtl/>
        </w:rPr>
        <w:t xml:space="preserve"> </w:t>
      </w:r>
      <w:r w:rsidRPr="00A43546">
        <w:rPr>
          <w:rStyle w:val="default"/>
          <w:rFonts w:cs="David" w:hint="eastAsia"/>
          <w:sz w:val="24"/>
          <w:szCs w:val="24"/>
          <w:rtl/>
        </w:rPr>
        <w:t>את</w:t>
      </w:r>
      <w:r w:rsidRPr="00A43546">
        <w:rPr>
          <w:rStyle w:val="default"/>
          <w:rFonts w:cs="David"/>
          <w:sz w:val="24"/>
          <w:szCs w:val="24"/>
          <w:rtl/>
        </w:rPr>
        <w:t xml:space="preserve"> </w:t>
      </w:r>
      <w:r w:rsidRPr="00A43546">
        <w:rPr>
          <w:rStyle w:val="default"/>
          <w:rFonts w:cs="David" w:hint="eastAsia"/>
          <w:sz w:val="24"/>
          <w:szCs w:val="24"/>
          <w:rtl/>
        </w:rPr>
        <w:t>התחרות</w:t>
      </w:r>
      <w:r w:rsidRPr="00A43546">
        <w:rPr>
          <w:rStyle w:val="default"/>
          <w:rFonts w:cs="David"/>
          <w:sz w:val="24"/>
          <w:szCs w:val="24"/>
          <w:rtl/>
        </w:rPr>
        <w:t xml:space="preserve"> </w:t>
      </w:r>
      <w:r w:rsidRPr="00A43546">
        <w:rPr>
          <w:rStyle w:val="default"/>
          <w:rFonts w:cs="David" w:hint="eastAsia"/>
          <w:sz w:val="24"/>
          <w:szCs w:val="24"/>
          <w:rtl/>
        </w:rPr>
        <w:t>בחלק</w:t>
      </w:r>
      <w:r w:rsidRPr="00A43546">
        <w:rPr>
          <w:rStyle w:val="default"/>
          <w:rFonts w:cs="David"/>
          <w:sz w:val="24"/>
          <w:szCs w:val="24"/>
          <w:rtl/>
        </w:rPr>
        <w:t xml:space="preserve"> </w:t>
      </w:r>
      <w:r w:rsidRPr="00A43546">
        <w:rPr>
          <w:rStyle w:val="default"/>
          <w:rFonts w:cs="David" w:hint="eastAsia"/>
          <w:sz w:val="24"/>
          <w:szCs w:val="24"/>
          <w:rtl/>
        </w:rPr>
        <w:t>ניכר</w:t>
      </w:r>
      <w:r w:rsidRPr="00A43546">
        <w:rPr>
          <w:rStyle w:val="default"/>
          <w:rFonts w:cs="David"/>
          <w:sz w:val="24"/>
          <w:szCs w:val="24"/>
          <w:rtl/>
        </w:rPr>
        <w:t xml:space="preserve"> </w:t>
      </w:r>
      <w:r w:rsidRPr="00A43546">
        <w:rPr>
          <w:rStyle w:val="default"/>
          <w:rFonts w:cs="David" w:hint="eastAsia"/>
          <w:sz w:val="24"/>
          <w:szCs w:val="24"/>
          <w:rtl/>
        </w:rPr>
        <w:t>משוק</w:t>
      </w:r>
      <w:r w:rsidRPr="00A43546">
        <w:rPr>
          <w:rStyle w:val="default"/>
          <w:rFonts w:cs="David"/>
          <w:sz w:val="24"/>
          <w:szCs w:val="24"/>
          <w:rtl/>
        </w:rPr>
        <w:t xml:space="preserve"> </w:t>
      </w:r>
      <w:r w:rsidRPr="00A43546">
        <w:rPr>
          <w:rStyle w:val="default"/>
          <w:rFonts w:cs="David" w:hint="eastAsia"/>
          <w:sz w:val="24"/>
          <w:szCs w:val="24"/>
          <w:rtl/>
        </w:rPr>
        <w:t>כאמור</w:t>
      </w:r>
      <w:r w:rsidRPr="00A43546">
        <w:rPr>
          <w:rStyle w:val="default"/>
          <w:rFonts w:cs="David"/>
          <w:sz w:val="24"/>
          <w:szCs w:val="24"/>
          <w:rtl/>
        </w:rPr>
        <w:t xml:space="preserve">, </w:t>
      </w:r>
      <w:r w:rsidRPr="00A43546">
        <w:rPr>
          <w:rStyle w:val="default"/>
          <w:rFonts w:cs="David" w:hint="eastAsia"/>
          <w:sz w:val="24"/>
          <w:szCs w:val="24"/>
          <w:rtl/>
        </w:rPr>
        <w:t>אך</w:t>
      </w:r>
      <w:r w:rsidRPr="00A43546">
        <w:rPr>
          <w:rStyle w:val="default"/>
          <w:rFonts w:cs="David"/>
          <w:sz w:val="24"/>
          <w:szCs w:val="24"/>
          <w:rtl/>
        </w:rPr>
        <w:t xml:space="preserve"> </w:t>
      </w:r>
      <w:r w:rsidRPr="00A43546">
        <w:rPr>
          <w:rStyle w:val="default"/>
          <w:rFonts w:cs="David" w:hint="eastAsia"/>
          <w:sz w:val="24"/>
          <w:szCs w:val="24"/>
          <w:rtl/>
        </w:rPr>
        <w:t>אי</w:t>
      </w:r>
      <w:r w:rsidRPr="00A43546">
        <w:rPr>
          <w:rStyle w:val="default"/>
          <w:rFonts w:cs="David"/>
          <w:sz w:val="24"/>
          <w:szCs w:val="24"/>
          <w:rtl/>
        </w:rPr>
        <w:t xml:space="preserve">ן </w:t>
      </w:r>
      <w:r w:rsidRPr="00A43546">
        <w:rPr>
          <w:rStyle w:val="default"/>
          <w:rFonts w:cs="David" w:hint="eastAsia"/>
          <w:sz w:val="24"/>
          <w:szCs w:val="24"/>
          <w:rtl/>
        </w:rPr>
        <w:t>בהן</w:t>
      </w:r>
      <w:r w:rsidRPr="00A43546">
        <w:rPr>
          <w:rStyle w:val="default"/>
          <w:rFonts w:cs="David"/>
          <w:sz w:val="24"/>
          <w:szCs w:val="24"/>
          <w:rtl/>
        </w:rPr>
        <w:t xml:space="preserve"> </w:t>
      </w:r>
      <w:r w:rsidRPr="00A43546">
        <w:rPr>
          <w:rStyle w:val="default"/>
          <w:rFonts w:cs="David" w:hint="eastAsia"/>
          <w:sz w:val="24"/>
          <w:szCs w:val="24"/>
          <w:rtl/>
        </w:rPr>
        <w:t>כדי</w:t>
      </w:r>
      <w:r w:rsidRPr="00A43546">
        <w:rPr>
          <w:rStyle w:val="default"/>
          <w:rFonts w:cs="David"/>
          <w:sz w:val="24"/>
          <w:szCs w:val="24"/>
          <w:rtl/>
        </w:rPr>
        <w:t xml:space="preserve"> </w:t>
      </w:r>
      <w:r w:rsidRPr="00A43546">
        <w:rPr>
          <w:rStyle w:val="default"/>
          <w:rFonts w:cs="David" w:hint="eastAsia"/>
          <w:sz w:val="24"/>
          <w:szCs w:val="24"/>
          <w:rtl/>
        </w:rPr>
        <w:t>לפגוע</w:t>
      </w:r>
      <w:r w:rsidRPr="00A43546">
        <w:rPr>
          <w:rStyle w:val="default"/>
          <w:rFonts w:cs="David"/>
          <w:sz w:val="24"/>
          <w:szCs w:val="24"/>
          <w:rtl/>
        </w:rPr>
        <w:t xml:space="preserve"> </w:t>
      </w:r>
      <w:r w:rsidRPr="00A43546">
        <w:rPr>
          <w:rStyle w:val="default"/>
          <w:rFonts w:cs="David" w:hint="eastAsia"/>
          <w:sz w:val="24"/>
          <w:szCs w:val="24"/>
          <w:rtl/>
        </w:rPr>
        <w:t>פגיעה</w:t>
      </w:r>
      <w:r w:rsidRPr="00A43546">
        <w:rPr>
          <w:rStyle w:val="default"/>
          <w:rFonts w:cs="David"/>
          <w:sz w:val="24"/>
          <w:szCs w:val="24"/>
          <w:rtl/>
        </w:rPr>
        <w:t xml:space="preserve"> </w:t>
      </w:r>
      <w:r w:rsidRPr="00A43546">
        <w:rPr>
          <w:rStyle w:val="default"/>
          <w:rFonts w:cs="David" w:hint="eastAsia"/>
          <w:sz w:val="24"/>
          <w:szCs w:val="24"/>
          <w:rtl/>
        </w:rPr>
        <w:t>של</w:t>
      </w:r>
      <w:r w:rsidRPr="00A43546">
        <w:rPr>
          <w:rStyle w:val="default"/>
          <w:rFonts w:cs="David"/>
          <w:sz w:val="24"/>
          <w:szCs w:val="24"/>
          <w:rtl/>
        </w:rPr>
        <w:t xml:space="preserve"> </w:t>
      </w:r>
      <w:r w:rsidRPr="00A43546">
        <w:rPr>
          <w:rStyle w:val="default"/>
          <w:rFonts w:cs="David" w:hint="eastAsia"/>
          <w:sz w:val="24"/>
          <w:szCs w:val="24"/>
          <w:rtl/>
        </w:rPr>
        <w:t>ממש</w:t>
      </w:r>
      <w:r w:rsidRPr="00A43546">
        <w:rPr>
          <w:rStyle w:val="default"/>
          <w:rFonts w:cs="David"/>
          <w:sz w:val="24"/>
          <w:szCs w:val="24"/>
          <w:rtl/>
        </w:rPr>
        <w:t xml:space="preserve"> </w:t>
      </w:r>
      <w:r w:rsidRPr="00A43546">
        <w:rPr>
          <w:rStyle w:val="default"/>
          <w:rFonts w:cs="David" w:hint="eastAsia"/>
          <w:sz w:val="24"/>
          <w:szCs w:val="24"/>
          <w:rtl/>
        </w:rPr>
        <w:t>בתחרות</w:t>
      </w:r>
      <w:r w:rsidRPr="00A43546">
        <w:rPr>
          <w:rStyle w:val="default"/>
          <w:rFonts w:cs="David"/>
          <w:sz w:val="24"/>
          <w:szCs w:val="24"/>
          <w:rtl/>
        </w:rPr>
        <w:t xml:space="preserve"> </w:t>
      </w:r>
      <w:r w:rsidRPr="00A43546">
        <w:rPr>
          <w:rStyle w:val="default"/>
          <w:rFonts w:cs="David" w:hint="eastAsia"/>
          <w:sz w:val="24"/>
          <w:szCs w:val="24"/>
          <w:rtl/>
        </w:rPr>
        <w:t>בשוק</w:t>
      </w:r>
      <w:r w:rsidRPr="00A43546">
        <w:rPr>
          <w:rStyle w:val="default"/>
          <w:rFonts w:cs="David"/>
          <w:sz w:val="24"/>
          <w:szCs w:val="24"/>
          <w:rtl/>
        </w:rPr>
        <w:t xml:space="preserve"> </w:t>
      </w:r>
      <w:r w:rsidRPr="00A43546">
        <w:rPr>
          <w:rStyle w:val="default"/>
          <w:rFonts w:cs="David" w:hint="eastAsia"/>
          <w:sz w:val="24"/>
          <w:szCs w:val="24"/>
          <w:rtl/>
        </w:rPr>
        <w:t>כאמור</w:t>
      </w:r>
      <w:r w:rsidRPr="00A43546">
        <w:rPr>
          <w:rStyle w:val="default"/>
          <w:rFonts w:cs="David"/>
          <w:sz w:val="24"/>
          <w:szCs w:val="24"/>
          <w:rtl/>
        </w:rPr>
        <w:t>;</w:t>
      </w:r>
    </w:p>
    <w:p w14:paraId="750D7EB5" w14:textId="2910EF02" w:rsidR="005B7C6E" w:rsidRDefault="007855D9" w:rsidP="00F04969">
      <w:pPr>
        <w:spacing w:before="120" w:after="0" w:line="360" w:lineRule="auto"/>
        <w:jc w:val="both"/>
        <w:rPr>
          <w:rFonts w:cs="David"/>
          <w:sz w:val="24"/>
          <w:szCs w:val="24"/>
          <w:rtl/>
        </w:rPr>
      </w:pPr>
      <w:r>
        <w:rPr>
          <w:rFonts w:cs="David" w:hint="cs"/>
          <w:sz w:val="24"/>
          <w:szCs w:val="24"/>
          <w:rtl/>
        </w:rPr>
        <w:t xml:space="preserve">משמעות </w:t>
      </w:r>
      <w:r w:rsidR="003911B3">
        <w:rPr>
          <w:rFonts w:cs="David" w:hint="cs"/>
          <w:sz w:val="24"/>
          <w:szCs w:val="24"/>
          <w:rtl/>
        </w:rPr>
        <w:t>הקביעה שהסדר עומד בדרישות סע' 14(א)(2)</w:t>
      </w:r>
      <w:r>
        <w:rPr>
          <w:rFonts w:cs="David" w:hint="cs"/>
          <w:sz w:val="24"/>
          <w:szCs w:val="24"/>
          <w:rtl/>
        </w:rPr>
        <w:t xml:space="preserve"> היא רק שאות</w:t>
      </w:r>
      <w:r w:rsidR="003911B3">
        <w:rPr>
          <w:rFonts w:cs="David" w:hint="cs"/>
          <w:sz w:val="24"/>
          <w:szCs w:val="24"/>
          <w:rtl/>
        </w:rPr>
        <w:t>ו</w:t>
      </w:r>
      <w:r w:rsidR="000E5C31">
        <w:rPr>
          <w:rFonts w:cs="David" w:hint="cs"/>
          <w:sz w:val="24"/>
          <w:szCs w:val="24"/>
          <w:rtl/>
        </w:rPr>
        <w:t xml:space="preserve"> </w:t>
      </w:r>
      <w:r>
        <w:rPr>
          <w:rFonts w:cs="David" w:hint="cs"/>
          <w:sz w:val="24"/>
          <w:szCs w:val="24"/>
          <w:rtl/>
        </w:rPr>
        <w:t xml:space="preserve">הסדר עשוי להיות ראוי לפטור אם מתקיימים </w:t>
      </w:r>
      <w:r w:rsidR="005B0816">
        <w:rPr>
          <w:rFonts w:cs="David" w:hint="cs"/>
          <w:sz w:val="24"/>
          <w:szCs w:val="24"/>
          <w:rtl/>
        </w:rPr>
        <w:t>לגבי</w:t>
      </w:r>
      <w:r w:rsidR="003911B3">
        <w:rPr>
          <w:rFonts w:cs="David" w:hint="cs"/>
          <w:sz w:val="24"/>
          <w:szCs w:val="24"/>
          <w:rtl/>
        </w:rPr>
        <w:t>ו</w:t>
      </w:r>
      <w:r w:rsidR="005B0816">
        <w:rPr>
          <w:rFonts w:cs="David" w:hint="cs"/>
          <w:sz w:val="24"/>
          <w:szCs w:val="24"/>
          <w:rtl/>
        </w:rPr>
        <w:t xml:space="preserve"> </w:t>
      </w:r>
      <w:r>
        <w:rPr>
          <w:rFonts w:cs="David" w:hint="cs"/>
          <w:sz w:val="24"/>
          <w:szCs w:val="24"/>
          <w:rtl/>
        </w:rPr>
        <w:t>גם התנאים של סע' 14(א)(1).</w:t>
      </w:r>
    </w:p>
    <w:p w14:paraId="21C2D9D2" w14:textId="027B142E" w:rsidR="007855D9" w:rsidRDefault="007855D9" w:rsidP="00C426BE">
      <w:pPr>
        <w:spacing w:before="120" w:after="0" w:line="360" w:lineRule="auto"/>
        <w:jc w:val="both"/>
        <w:rPr>
          <w:rFonts w:cs="David"/>
          <w:sz w:val="24"/>
          <w:szCs w:val="24"/>
          <w:rtl/>
        </w:rPr>
      </w:pPr>
      <w:r>
        <w:rPr>
          <w:rFonts w:cs="David" w:hint="cs"/>
          <w:sz w:val="24"/>
          <w:szCs w:val="24"/>
          <w:rtl/>
        </w:rPr>
        <w:t xml:space="preserve">סעיפים 14(א)(1) ו-14(א)(2) מציגים שני מבחנים שונים ונפרדים. </w:t>
      </w:r>
      <w:r w:rsidR="00FF09CB">
        <w:rPr>
          <w:rFonts w:cs="David" w:hint="cs"/>
          <w:sz w:val="24"/>
          <w:szCs w:val="24"/>
          <w:rtl/>
        </w:rPr>
        <w:t xml:space="preserve">לא די בהתקיימות </w:t>
      </w:r>
      <w:r w:rsidR="008C4911">
        <w:rPr>
          <w:rFonts w:cs="David" w:hint="cs"/>
          <w:sz w:val="24"/>
          <w:szCs w:val="24"/>
          <w:rtl/>
        </w:rPr>
        <w:t xml:space="preserve">הדרישות </w:t>
      </w:r>
      <w:r w:rsidR="00FF09CB">
        <w:rPr>
          <w:rFonts w:cs="David" w:hint="cs"/>
          <w:sz w:val="24"/>
          <w:szCs w:val="24"/>
          <w:rtl/>
        </w:rPr>
        <w:t xml:space="preserve">של סע' 14(א)(1) כדי להוביל למסקנה כי גם </w:t>
      </w:r>
      <w:r w:rsidR="008C4911">
        <w:rPr>
          <w:rFonts w:cs="David" w:hint="cs"/>
          <w:sz w:val="24"/>
          <w:szCs w:val="24"/>
          <w:rtl/>
        </w:rPr>
        <w:t xml:space="preserve">דרישות </w:t>
      </w:r>
      <w:r w:rsidR="00FF09CB">
        <w:rPr>
          <w:rFonts w:cs="David" w:hint="cs"/>
          <w:sz w:val="24"/>
          <w:szCs w:val="24"/>
          <w:rtl/>
        </w:rPr>
        <w:t>סע' 14(א)(2) מתקיימ</w:t>
      </w:r>
      <w:r w:rsidR="008C4911">
        <w:rPr>
          <w:rFonts w:cs="David" w:hint="cs"/>
          <w:sz w:val="24"/>
          <w:szCs w:val="24"/>
          <w:rtl/>
        </w:rPr>
        <w:t>ות</w:t>
      </w:r>
      <w:r w:rsidR="00FF09CB">
        <w:rPr>
          <w:rFonts w:cs="David" w:hint="cs"/>
          <w:sz w:val="24"/>
          <w:szCs w:val="24"/>
          <w:rtl/>
        </w:rPr>
        <w:t>.</w:t>
      </w:r>
      <w:r w:rsidR="00350FD2">
        <w:rPr>
          <w:rStyle w:val="FootnoteReference"/>
          <w:rFonts w:cs="David"/>
          <w:sz w:val="24"/>
          <w:szCs w:val="24"/>
          <w:rtl/>
        </w:rPr>
        <w:footnoteReference w:id="74"/>
      </w:r>
      <w:r w:rsidR="00FF09CB">
        <w:rPr>
          <w:rFonts w:cs="David" w:hint="cs"/>
          <w:sz w:val="24"/>
          <w:szCs w:val="24"/>
          <w:rtl/>
        </w:rPr>
        <w:t xml:space="preserve"> </w:t>
      </w:r>
      <w:r w:rsidR="00023FF3">
        <w:rPr>
          <w:rFonts w:cs="David" w:hint="cs"/>
          <w:sz w:val="24"/>
          <w:szCs w:val="24"/>
          <w:rtl/>
        </w:rPr>
        <w:t xml:space="preserve">את התקיימות </w:t>
      </w:r>
      <w:r w:rsidR="008C4911">
        <w:rPr>
          <w:rFonts w:cs="David" w:hint="cs"/>
          <w:sz w:val="24"/>
          <w:szCs w:val="24"/>
          <w:rtl/>
        </w:rPr>
        <w:t>דרישות</w:t>
      </w:r>
      <w:r w:rsidR="00023FF3">
        <w:rPr>
          <w:rFonts w:cs="David" w:hint="cs"/>
          <w:sz w:val="24"/>
          <w:szCs w:val="24"/>
          <w:rtl/>
        </w:rPr>
        <w:t xml:space="preserve"> סע' 14(א)(2) יש לבחון בנפרד. אם בבחינה זו נמצא כי </w:t>
      </w:r>
      <w:r w:rsidR="008C4911">
        <w:rPr>
          <w:rFonts w:cs="David" w:hint="cs"/>
          <w:sz w:val="24"/>
          <w:szCs w:val="24"/>
          <w:rtl/>
        </w:rPr>
        <w:t>דרישות</w:t>
      </w:r>
      <w:r w:rsidR="00023FF3">
        <w:rPr>
          <w:rFonts w:cs="David" w:hint="cs"/>
          <w:sz w:val="24"/>
          <w:szCs w:val="24"/>
          <w:rtl/>
        </w:rPr>
        <w:t xml:space="preserve"> סע' 14(א)(2) אינ</w:t>
      </w:r>
      <w:r w:rsidR="008C4911">
        <w:rPr>
          <w:rFonts w:cs="David" w:hint="cs"/>
          <w:sz w:val="24"/>
          <w:szCs w:val="24"/>
          <w:rtl/>
        </w:rPr>
        <w:t>ן</w:t>
      </w:r>
      <w:r w:rsidR="00023FF3">
        <w:rPr>
          <w:rFonts w:cs="David" w:hint="cs"/>
          <w:sz w:val="24"/>
          <w:szCs w:val="24"/>
          <w:rtl/>
        </w:rPr>
        <w:t xml:space="preserve"> מתקיימ</w:t>
      </w:r>
      <w:r w:rsidR="008C4911">
        <w:rPr>
          <w:rFonts w:cs="David" w:hint="cs"/>
          <w:sz w:val="24"/>
          <w:szCs w:val="24"/>
          <w:rtl/>
        </w:rPr>
        <w:t>ות</w:t>
      </w:r>
      <w:r w:rsidR="00023FF3">
        <w:rPr>
          <w:rFonts w:cs="David" w:hint="cs"/>
          <w:sz w:val="24"/>
          <w:szCs w:val="24"/>
          <w:rtl/>
        </w:rPr>
        <w:t xml:space="preserve">, אין </w:t>
      </w:r>
      <w:r w:rsidR="00EE68AD">
        <w:rPr>
          <w:rFonts w:cs="David" w:hint="cs"/>
          <w:sz w:val="24"/>
          <w:szCs w:val="24"/>
          <w:rtl/>
        </w:rPr>
        <w:t xml:space="preserve">מקום להתקדם לבחינת </w:t>
      </w:r>
      <w:r w:rsidR="00023FF3">
        <w:rPr>
          <w:rFonts w:cs="David" w:hint="cs"/>
          <w:sz w:val="24"/>
          <w:szCs w:val="24"/>
          <w:rtl/>
        </w:rPr>
        <w:t xml:space="preserve">התקיימות </w:t>
      </w:r>
      <w:r w:rsidR="008C4911">
        <w:rPr>
          <w:rFonts w:cs="David" w:hint="cs"/>
          <w:sz w:val="24"/>
          <w:szCs w:val="24"/>
          <w:rtl/>
        </w:rPr>
        <w:t>דרישות</w:t>
      </w:r>
      <w:r w:rsidR="00023FF3">
        <w:rPr>
          <w:rFonts w:cs="David" w:hint="cs"/>
          <w:sz w:val="24"/>
          <w:szCs w:val="24"/>
          <w:rtl/>
        </w:rPr>
        <w:t xml:space="preserve"> סע' 14(א)(1)</w:t>
      </w:r>
      <w:r w:rsidR="008C7D70">
        <w:rPr>
          <w:rFonts w:cs="David" w:hint="cs"/>
          <w:sz w:val="24"/>
          <w:szCs w:val="24"/>
          <w:rtl/>
        </w:rPr>
        <w:t>; זאת מן הסיבה ש</w:t>
      </w:r>
      <w:r w:rsidR="00023FF3">
        <w:rPr>
          <w:rFonts w:cs="David" w:hint="cs"/>
          <w:sz w:val="24"/>
          <w:szCs w:val="24"/>
          <w:rtl/>
        </w:rPr>
        <w:t xml:space="preserve">הסדר שלגביו </w:t>
      </w:r>
      <w:r w:rsidR="008C4911">
        <w:rPr>
          <w:rFonts w:cs="David" w:hint="cs"/>
          <w:sz w:val="24"/>
          <w:szCs w:val="24"/>
          <w:rtl/>
        </w:rPr>
        <w:t>דרישות</w:t>
      </w:r>
      <w:r w:rsidR="00023FF3">
        <w:rPr>
          <w:rFonts w:cs="David" w:hint="cs"/>
          <w:sz w:val="24"/>
          <w:szCs w:val="24"/>
          <w:rtl/>
        </w:rPr>
        <w:t xml:space="preserve"> סע' 14(א)(2) אינ</w:t>
      </w:r>
      <w:r w:rsidR="008C4911">
        <w:rPr>
          <w:rFonts w:cs="David" w:hint="cs"/>
          <w:sz w:val="24"/>
          <w:szCs w:val="24"/>
          <w:rtl/>
        </w:rPr>
        <w:t>ן</w:t>
      </w:r>
      <w:r w:rsidR="00023FF3">
        <w:rPr>
          <w:rFonts w:cs="David" w:hint="cs"/>
          <w:sz w:val="24"/>
          <w:szCs w:val="24"/>
          <w:rtl/>
        </w:rPr>
        <w:t xml:space="preserve"> מתקיימ</w:t>
      </w:r>
      <w:r w:rsidR="008C4911">
        <w:rPr>
          <w:rFonts w:cs="David" w:hint="cs"/>
          <w:sz w:val="24"/>
          <w:szCs w:val="24"/>
          <w:rtl/>
        </w:rPr>
        <w:t>ות</w:t>
      </w:r>
      <w:r w:rsidR="00023FF3">
        <w:rPr>
          <w:rFonts w:cs="David" w:hint="cs"/>
          <w:sz w:val="24"/>
          <w:szCs w:val="24"/>
          <w:rtl/>
        </w:rPr>
        <w:t xml:space="preserve"> אינו יכול להיות חוקי בכל מקר</w:t>
      </w:r>
      <w:r w:rsidR="00300F59">
        <w:rPr>
          <w:rFonts w:cs="David" w:hint="cs"/>
          <w:sz w:val="24"/>
          <w:szCs w:val="24"/>
          <w:rtl/>
        </w:rPr>
        <w:t>ה</w:t>
      </w:r>
      <w:r w:rsidR="00023FF3">
        <w:rPr>
          <w:rFonts w:cs="David" w:hint="cs"/>
          <w:sz w:val="24"/>
          <w:szCs w:val="24"/>
          <w:rtl/>
        </w:rPr>
        <w:t>.</w:t>
      </w:r>
      <w:r w:rsidR="003911B3">
        <w:rPr>
          <w:rFonts w:cs="David" w:hint="cs"/>
          <w:sz w:val="24"/>
          <w:szCs w:val="24"/>
          <w:rtl/>
        </w:rPr>
        <w:t xml:space="preserve"> הוא הדין גם לגבי סע' 15א(א)(2) והיחס בינו לבין סע' 15א(א)(1)</w:t>
      </w:r>
      <w:r w:rsidR="00C426BE">
        <w:rPr>
          <w:rFonts w:cs="David" w:hint="cs"/>
          <w:sz w:val="24"/>
          <w:szCs w:val="24"/>
          <w:rtl/>
        </w:rPr>
        <w:t xml:space="preserve">, וכך גם לגבי </w:t>
      </w:r>
      <w:r w:rsidR="00B60981">
        <w:rPr>
          <w:rFonts w:cs="David" w:hint="cs"/>
          <w:sz w:val="24"/>
          <w:szCs w:val="24"/>
          <w:rtl/>
        </w:rPr>
        <w:t>ה</w:t>
      </w:r>
      <w:r w:rsidR="003911B3">
        <w:rPr>
          <w:rFonts w:cs="David" w:hint="cs"/>
          <w:sz w:val="24"/>
          <w:szCs w:val="24"/>
          <w:rtl/>
        </w:rPr>
        <w:t xml:space="preserve">סעיפים </w:t>
      </w:r>
      <w:r w:rsidR="00B60981">
        <w:rPr>
          <w:rFonts w:cs="David" w:hint="cs"/>
          <w:sz w:val="24"/>
          <w:szCs w:val="24"/>
          <w:rtl/>
        </w:rPr>
        <w:t>ה</w:t>
      </w:r>
      <w:r w:rsidR="008C4911">
        <w:rPr>
          <w:rFonts w:cs="David" w:hint="cs"/>
          <w:sz w:val="24"/>
          <w:szCs w:val="24"/>
          <w:rtl/>
        </w:rPr>
        <w:t>מקבילים</w:t>
      </w:r>
      <w:r w:rsidR="003911B3">
        <w:rPr>
          <w:rFonts w:cs="David" w:hint="cs"/>
          <w:sz w:val="24"/>
          <w:szCs w:val="24"/>
          <w:rtl/>
        </w:rPr>
        <w:t xml:space="preserve"> בפטורי הסוג השונים.</w:t>
      </w:r>
    </w:p>
    <w:p w14:paraId="1AD03556" w14:textId="3CE2BE24" w:rsidR="009C74E1" w:rsidRDefault="009C74E1" w:rsidP="00706BC9">
      <w:pPr>
        <w:spacing w:before="120" w:after="0" w:line="360" w:lineRule="auto"/>
        <w:jc w:val="both"/>
        <w:rPr>
          <w:rFonts w:cs="David"/>
          <w:sz w:val="24"/>
          <w:szCs w:val="24"/>
          <w:rtl/>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5"/>
        <w:gridCol w:w="283"/>
        <w:gridCol w:w="4494"/>
      </w:tblGrid>
      <w:tr w:rsidR="000620BA" w14:paraId="3D26B04C" w14:textId="77777777" w:rsidTr="000620BA">
        <w:tc>
          <w:tcPr>
            <w:tcW w:w="3745" w:type="dxa"/>
          </w:tcPr>
          <w:p w14:paraId="11863C62" w14:textId="77777777" w:rsidR="000620BA" w:rsidRDefault="000620BA" w:rsidP="00706BC9">
            <w:pPr>
              <w:spacing w:before="120" w:line="360" w:lineRule="auto"/>
              <w:jc w:val="both"/>
              <w:rPr>
                <w:rFonts w:cs="David"/>
                <w:sz w:val="24"/>
                <w:szCs w:val="24"/>
                <w:rtl/>
              </w:rPr>
            </w:pPr>
          </w:p>
        </w:tc>
        <w:tc>
          <w:tcPr>
            <w:tcW w:w="283" w:type="dxa"/>
          </w:tcPr>
          <w:p w14:paraId="65C73153" w14:textId="77777777" w:rsidR="000620BA" w:rsidRDefault="000620BA" w:rsidP="00706BC9">
            <w:pPr>
              <w:spacing w:before="120" w:line="360" w:lineRule="auto"/>
              <w:jc w:val="both"/>
              <w:rPr>
                <w:rFonts w:cs="David"/>
                <w:sz w:val="24"/>
                <w:szCs w:val="24"/>
                <w:rtl/>
              </w:rPr>
            </w:pPr>
          </w:p>
        </w:tc>
        <w:tc>
          <w:tcPr>
            <w:tcW w:w="4494" w:type="dxa"/>
          </w:tcPr>
          <w:p w14:paraId="4D3CBC8C" w14:textId="77777777" w:rsidR="000620BA" w:rsidRDefault="000620BA" w:rsidP="000620BA">
            <w:pPr>
              <w:spacing w:before="120" w:line="360" w:lineRule="auto"/>
              <w:jc w:val="center"/>
              <w:rPr>
                <w:rFonts w:cs="David"/>
                <w:sz w:val="24"/>
                <w:szCs w:val="24"/>
                <w:rtl/>
              </w:rPr>
            </w:pPr>
            <w:r>
              <w:rPr>
                <w:rFonts w:cs="David" w:hint="cs"/>
                <w:sz w:val="24"/>
                <w:szCs w:val="24"/>
                <w:rtl/>
              </w:rPr>
              <w:t>מיכל הלפרין</w:t>
            </w:r>
          </w:p>
          <w:p w14:paraId="25BC200F" w14:textId="2CC79C69" w:rsidR="000620BA" w:rsidRDefault="000620BA" w:rsidP="000620BA">
            <w:pPr>
              <w:spacing w:before="240" w:line="360" w:lineRule="auto"/>
              <w:jc w:val="center"/>
              <w:rPr>
                <w:rFonts w:cs="David"/>
                <w:sz w:val="24"/>
                <w:szCs w:val="24"/>
                <w:rtl/>
              </w:rPr>
            </w:pPr>
            <w:r>
              <w:rPr>
                <w:rFonts w:cs="David" w:hint="cs"/>
                <w:sz w:val="24"/>
                <w:szCs w:val="24"/>
                <w:rtl/>
              </w:rPr>
              <w:t>הממונה על הגבלים עסקיים</w:t>
            </w:r>
          </w:p>
        </w:tc>
      </w:tr>
      <w:tr w:rsidR="000620BA" w14:paraId="445965D5" w14:textId="77777777" w:rsidTr="000620BA">
        <w:tc>
          <w:tcPr>
            <w:tcW w:w="3745" w:type="dxa"/>
          </w:tcPr>
          <w:p w14:paraId="38A933CC" w14:textId="77777777" w:rsidR="000620BA" w:rsidRDefault="000620BA" w:rsidP="000620BA">
            <w:pPr>
              <w:spacing w:before="120"/>
              <w:jc w:val="both"/>
              <w:rPr>
                <w:rFonts w:cs="David"/>
                <w:sz w:val="24"/>
                <w:szCs w:val="24"/>
                <w:rtl/>
              </w:rPr>
            </w:pPr>
            <w:r>
              <w:rPr>
                <w:rFonts w:cs="David" w:hint="cs"/>
                <w:sz w:val="24"/>
                <w:szCs w:val="24"/>
                <w:rtl/>
              </w:rPr>
              <w:t>ירושלים, כ"ז במרחשוון, תשע"ט</w:t>
            </w:r>
          </w:p>
          <w:p w14:paraId="10462D14" w14:textId="7448F7D8" w:rsidR="000620BA" w:rsidRDefault="000620BA" w:rsidP="000620BA">
            <w:pPr>
              <w:spacing w:before="120"/>
              <w:jc w:val="both"/>
              <w:rPr>
                <w:rFonts w:cs="David"/>
                <w:sz w:val="24"/>
                <w:szCs w:val="24"/>
                <w:rtl/>
              </w:rPr>
            </w:pPr>
            <w:r>
              <w:rPr>
                <w:rFonts w:cs="David" w:hint="cs"/>
                <w:sz w:val="24"/>
                <w:szCs w:val="24"/>
                <w:rtl/>
              </w:rPr>
              <w:t>5 בנובמבר, 2018</w:t>
            </w:r>
          </w:p>
        </w:tc>
        <w:tc>
          <w:tcPr>
            <w:tcW w:w="283" w:type="dxa"/>
          </w:tcPr>
          <w:p w14:paraId="6F3C0718" w14:textId="77777777" w:rsidR="000620BA" w:rsidRDefault="000620BA" w:rsidP="00706BC9">
            <w:pPr>
              <w:spacing w:before="120" w:line="360" w:lineRule="auto"/>
              <w:jc w:val="both"/>
              <w:rPr>
                <w:rFonts w:cs="David"/>
                <w:sz w:val="24"/>
                <w:szCs w:val="24"/>
                <w:rtl/>
              </w:rPr>
            </w:pPr>
          </w:p>
        </w:tc>
        <w:tc>
          <w:tcPr>
            <w:tcW w:w="4494" w:type="dxa"/>
          </w:tcPr>
          <w:p w14:paraId="6CE911B6" w14:textId="77777777" w:rsidR="000620BA" w:rsidRDefault="000620BA" w:rsidP="00706BC9">
            <w:pPr>
              <w:spacing w:before="120" w:line="360" w:lineRule="auto"/>
              <w:jc w:val="both"/>
              <w:rPr>
                <w:rFonts w:cs="David"/>
                <w:sz w:val="24"/>
                <w:szCs w:val="24"/>
                <w:rtl/>
              </w:rPr>
            </w:pPr>
          </w:p>
        </w:tc>
      </w:tr>
    </w:tbl>
    <w:p w14:paraId="61A5424B" w14:textId="3A813518" w:rsidR="000620BA" w:rsidRDefault="000620BA" w:rsidP="00706BC9">
      <w:pPr>
        <w:spacing w:before="120" w:after="0" w:line="360" w:lineRule="auto"/>
        <w:jc w:val="both"/>
        <w:rPr>
          <w:rFonts w:cs="David"/>
          <w:sz w:val="24"/>
          <w:szCs w:val="24"/>
          <w:rtl/>
        </w:rPr>
      </w:pPr>
    </w:p>
    <w:p w14:paraId="09DEADB8" w14:textId="356B0594" w:rsidR="000620BA" w:rsidRDefault="000620BA" w:rsidP="00706BC9">
      <w:pPr>
        <w:spacing w:before="120" w:after="0" w:line="360" w:lineRule="auto"/>
        <w:jc w:val="both"/>
        <w:rPr>
          <w:rFonts w:cs="David"/>
          <w:sz w:val="24"/>
          <w:szCs w:val="24"/>
          <w:rtl/>
        </w:rPr>
      </w:pPr>
    </w:p>
    <w:p w14:paraId="65C1D0A9" w14:textId="32575923" w:rsidR="000620BA" w:rsidRDefault="000620BA" w:rsidP="00706BC9">
      <w:pPr>
        <w:spacing w:before="120" w:after="0" w:line="360" w:lineRule="auto"/>
        <w:jc w:val="both"/>
        <w:rPr>
          <w:rFonts w:cs="David"/>
          <w:sz w:val="24"/>
          <w:szCs w:val="24"/>
          <w:rtl/>
        </w:rPr>
      </w:pPr>
    </w:p>
    <w:p w14:paraId="5C035520" w14:textId="77777777" w:rsidR="000620BA" w:rsidRDefault="000620BA" w:rsidP="00706BC9">
      <w:pPr>
        <w:spacing w:before="120" w:after="0" w:line="360" w:lineRule="auto"/>
        <w:jc w:val="both"/>
        <w:rPr>
          <w:rFonts w:cs="David"/>
          <w:sz w:val="24"/>
          <w:szCs w:val="24"/>
          <w:rtl/>
        </w:rPr>
      </w:pPr>
    </w:p>
    <w:sectPr w:rsidR="000620BA" w:rsidSect="00057443">
      <w:headerReference w:type="even" r:id="rId11"/>
      <w:headerReference w:type="default" r:id="rId12"/>
      <w:headerReference w:type="first" r:id="rId13"/>
      <w:pgSz w:w="11906" w:h="16838"/>
      <w:pgMar w:top="1440" w:right="1800" w:bottom="1440" w:left="1800" w:header="708" w:footer="708"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5F6071" w14:textId="77777777" w:rsidR="00992284" w:rsidRDefault="00992284" w:rsidP="009B2A08">
      <w:pPr>
        <w:spacing w:after="0" w:line="240" w:lineRule="auto"/>
      </w:pPr>
      <w:r>
        <w:separator/>
      </w:r>
    </w:p>
  </w:endnote>
  <w:endnote w:type="continuationSeparator" w:id="0">
    <w:p w14:paraId="062E5EA1" w14:textId="77777777" w:rsidR="00992284" w:rsidRDefault="00992284" w:rsidP="009B2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David">
    <w:panose1 w:val="020E0502060401010101"/>
    <w:charset w:val="B1"/>
    <w:family w:val="swiss"/>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9AB72A" w14:textId="77777777" w:rsidR="00992284" w:rsidRDefault="00992284" w:rsidP="009B2A08">
      <w:pPr>
        <w:spacing w:after="0" w:line="240" w:lineRule="auto"/>
      </w:pPr>
      <w:r>
        <w:separator/>
      </w:r>
    </w:p>
  </w:footnote>
  <w:footnote w:type="continuationSeparator" w:id="0">
    <w:p w14:paraId="778D346E" w14:textId="77777777" w:rsidR="00992284" w:rsidRDefault="00992284" w:rsidP="009B2A08">
      <w:pPr>
        <w:spacing w:after="0" w:line="240" w:lineRule="auto"/>
      </w:pPr>
      <w:r>
        <w:continuationSeparator/>
      </w:r>
    </w:p>
  </w:footnote>
  <w:footnote w:id="1">
    <w:p w14:paraId="000013CA" w14:textId="290F9BA3" w:rsidR="006C3B31" w:rsidRPr="00FA1D93" w:rsidRDefault="006C3B31" w:rsidP="00263764">
      <w:pPr>
        <w:pStyle w:val="FootnoteText"/>
        <w:spacing w:after="120"/>
        <w:jc w:val="both"/>
        <w:rPr>
          <w:rtl/>
        </w:rPr>
      </w:pPr>
      <w:r>
        <w:rPr>
          <w:rStyle w:val="FootnoteReference"/>
        </w:rPr>
        <w:footnoteRef/>
      </w:r>
      <w:r>
        <w:rPr>
          <w:rtl/>
        </w:rPr>
        <w:t xml:space="preserve"> </w:t>
      </w:r>
      <w:r w:rsidRPr="00FA1D93">
        <w:rPr>
          <w:rFonts w:asciiTheme="minorBidi" w:hAnsiTheme="minorBidi"/>
          <w:rtl/>
        </w:rPr>
        <w:t xml:space="preserve">ראו: כללי ההגבלים העסקיים (פטור סוג למיזמים משותפים) (הוראת שעה), תשס"ו-2006, סע'  9(5), 9(6), וראו גם סע' 6; כללי ההגבלים העסקיים (פטור סוג לכבילות נלוות למיזוגים), תשס"ט-2009, סע' 1 (הגדרה של </w:t>
      </w:r>
      <w:r w:rsidRPr="00FA1D93">
        <w:rPr>
          <w:rFonts w:asciiTheme="minorBidi" w:hAnsiTheme="minorBidi"/>
          <w:b/>
          <w:bCs/>
          <w:rtl/>
        </w:rPr>
        <w:t>"כבילה נלווית למיזוג"</w:t>
      </w:r>
      <w:r w:rsidRPr="00FA1D93">
        <w:rPr>
          <w:rFonts w:asciiTheme="minorBidi" w:hAnsiTheme="minorBidi"/>
          <w:rtl/>
        </w:rPr>
        <w:t>, הרישא להגדרה וכן סעיף קטן (4) להגדרה); כללי ההגבלים העסקיים (פטור סוג להסכמי רכישה בלעדית) (הוראת שעה), תשס"א-2001, סע' 3(6), 3(7); כללי ההגבלים העסקיים (פטור סוג להסכמי הפצה בלעדית) (הוראת שעה), תשס"א-2001, סע' 3(7), 3(8); כללי ההגבלים העסקיים (פטור סוג להסכמי זכיינות) (הוראת שעה), תשס"א-2001, סע' 3(10), 3(11); כללי ההגבלים העסקיים (פטור סוג להסכמים לביצוע מחקר ופיתוח) (הוראת שעה), תשס"ו-2006, סע' 8(ג)(1), 8(ג)(2); כללי ההגבלים העסקיים (פטור סוג להסכמים שפגיעתם בתחרות קלת ערך (הוראת שעה), תשס"ו-2006), סע' 5(1), 5(2); כללי ההגבלים העסקיים (פטור סוג להסדרים תפעוליים שעניינם תובלה בין-לאומית בים), תשע"ג-2012, סע' 3(2), 3(3); כללי ההגבלים העסקיים (פטור סוג להסדרים בין מובילים באוויר שעניינם שיווק קיבולת טיסה ליעדים הכפופים להסכמי שמים פתוחים), תשע"ג-2012, סע' 2(3); כללי ההגבלים העסקיים (פטור סוג להסדרים שאינם אופקיים ואין בהם כבילות מחיר מסוימות), תשע"ג-2013, סע' 2(2); כללי ההגבלים העסקיים (פטור סוג למיזמים משותפים לשם שיווק ואספקה בחוץ לארץ של ציוד ביטחוני), תשע"ה-2015, סע' 5</w:t>
      </w:r>
      <w:r>
        <w:rPr>
          <w:rFonts w:hint="cs"/>
          <w:rtl/>
        </w:rPr>
        <w:t>; כללי ההגבלים העסקיים (פטור סוג להסדרים שעניינם יצוא של ציוד ביטחוני מחוץ למדינת ישראל) (הוראת שעה), תשע"ז-2017, סע' 2(1)</w:t>
      </w:r>
      <w:r w:rsidR="00263764">
        <w:rPr>
          <w:rFonts w:hint="cs"/>
          <w:rtl/>
        </w:rPr>
        <w:t>; כללי ההגבלים העסקיים (פטור סוג להסדרי הלוואות משותפות) (הוראת שעה), תשע"ח-2018, סע' 2(5), 2(6).</w:t>
      </w:r>
    </w:p>
  </w:footnote>
  <w:footnote w:id="2">
    <w:p w14:paraId="6CA0B192" w14:textId="12B1DF5F" w:rsidR="006C3B31" w:rsidRPr="00057443" w:rsidRDefault="006C3B31" w:rsidP="00B056F6">
      <w:pPr>
        <w:pStyle w:val="FootnoteText"/>
        <w:spacing w:after="120"/>
        <w:jc w:val="both"/>
        <w:rPr>
          <w:b/>
          <w:bCs/>
          <w:rtl/>
        </w:rPr>
      </w:pPr>
      <w:r>
        <w:rPr>
          <w:rStyle w:val="FootnoteReference"/>
        </w:rPr>
        <w:footnoteRef/>
      </w:r>
      <w:r>
        <w:rPr>
          <w:rtl/>
        </w:rPr>
        <w:t xml:space="preserve"> </w:t>
      </w:r>
      <w:r>
        <w:rPr>
          <w:rFonts w:hint="cs"/>
          <w:rtl/>
        </w:rPr>
        <w:t xml:space="preserve">לדוגמה, </w:t>
      </w:r>
      <w:r w:rsidRPr="00FA1D93">
        <w:rPr>
          <w:rFonts w:asciiTheme="minorBidi" w:hAnsiTheme="minorBidi"/>
          <w:rtl/>
        </w:rPr>
        <w:t>כללי ההגבלים העסקיים (פטור סוג להסדרים בין מובילים באוויר שעניינם שיווק קיבולת טיסה ליעדים הכפופים להסכמי שמים פתוחים), תשע"ג-2012</w:t>
      </w:r>
      <w:r>
        <w:rPr>
          <w:rFonts w:asciiTheme="minorBidi" w:hAnsiTheme="minorBidi" w:hint="cs"/>
          <w:rtl/>
        </w:rPr>
        <w:t xml:space="preserve">; </w:t>
      </w:r>
      <w:r w:rsidRPr="00FA1D93">
        <w:rPr>
          <w:rFonts w:asciiTheme="minorBidi" w:hAnsiTheme="minorBidi"/>
          <w:rtl/>
        </w:rPr>
        <w:t>כללי ההגבלים העסקיים (פטור סוג להסדרים שאינם אופקיים ואין בהם כבילות מחיר מסוימות), תשע"ג-2013</w:t>
      </w:r>
      <w:r>
        <w:rPr>
          <w:rFonts w:hint="cs"/>
          <w:rtl/>
        </w:rPr>
        <w:t>; כללי ההגבלים העסקיים (פטור סוג להסדרים שעניינם יצוא של ציוד ביטחוני מחוץ למדינת ישראל) (הוראת שעה), תשע"ז-2017</w:t>
      </w:r>
      <w:r w:rsidR="000C74E4">
        <w:rPr>
          <w:rFonts w:hint="cs"/>
          <w:b/>
          <w:bCs/>
          <w:rtl/>
        </w:rPr>
        <w:t>.</w:t>
      </w:r>
    </w:p>
  </w:footnote>
  <w:footnote w:id="3">
    <w:p w14:paraId="63B99397" w14:textId="7DD6B87A" w:rsidR="00B056F6" w:rsidRDefault="00B056F6" w:rsidP="003F71DF">
      <w:pPr>
        <w:pStyle w:val="FootnoteText"/>
        <w:spacing w:after="120"/>
        <w:jc w:val="both"/>
      </w:pPr>
      <w:r>
        <w:rPr>
          <w:rStyle w:val="FootnoteReference"/>
        </w:rPr>
        <w:footnoteRef/>
      </w:r>
      <w:r>
        <w:rPr>
          <w:rtl/>
        </w:rPr>
        <w:t xml:space="preserve"> </w:t>
      </w:r>
      <w:r w:rsidR="006E652F">
        <w:rPr>
          <w:rFonts w:hint="cs"/>
          <w:rtl/>
        </w:rPr>
        <w:t>כללי ההגבלים העסקיים (פטור סוג למיזמים משותפים</w:t>
      </w:r>
      <w:r w:rsidR="00DC2424">
        <w:rPr>
          <w:rFonts w:hint="cs"/>
          <w:rtl/>
        </w:rPr>
        <w:t>)</w:t>
      </w:r>
      <w:r w:rsidR="006E652F">
        <w:rPr>
          <w:rFonts w:hint="cs"/>
          <w:rtl/>
        </w:rPr>
        <w:t xml:space="preserve"> (הוראת שעה), תשס"ו-2006</w:t>
      </w:r>
      <w:r w:rsidR="000A1EEF">
        <w:rPr>
          <w:rFonts w:hint="cs"/>
          <w:rtl/>
        </w:rPr>
        <w:t>, 201</w:t>
      </w:r>
      <w:r w:rsidR="00A83DB2">
        <w:rPr>
          <w:rFonts w:hint="cs"/>
          <w:rtl/>
        </w:rPr>
        <w:t>8</w:t>
      </w:r>
      <w:r w:rsidR="000A1EEF">
        <w:rPr>
          <w:rFonts w:hint="cs"/>
          <w:rtl/>
        </w:rPr>
        <w:t xml:space="preserve"> </w:t>
      </w:r>
      <w:r w:rsidR="000A1EEF">
        <w:rPr>
          <w:rFonts w:hint="cs"/>
          <w:b/>
          <w:bCs/>
          <w:rtl/>
        </w:rPr>
        <w:t>ההגבלים העסקיים</w:t>
      </w:r>
      <w:r w:rsidR="003F71DF">
        <w:rPr>
          <w:rFonts w:hint="cs"/>
          <w:b/>
          <w:bCs/>
          <w:rtl/>
        </w:rPr>
        <w:t xml:space="preserve"> </w:t>
      </w:r>
      <w:r w:rsidR="003F71DF">
        <w:rPr>
          <w:rFonts w:hint="cs"/>
          <w:rtl/>
        </w:rPr>
        <w:t>501590</w:t>
      </w:r>
      <w:r w:rsidR="00A83DB2">
        <w:rPr>
          <w:rFonts w:hint="cs"/>
          <w:rtl/>
        </w:rPr>
        <w:t xml:space="preserve"> (</w:t>
      </w:r>
      <w:r w:rsidR="003F71DF">
        <w:rPr>
          <w:rFonts w:hint="cs"/>
          <w:rtl/>
        </w:rPr>
        <w:t>5</w:t>
      </w:r>
      <w:r w:rsidR="002C5715">
        <w:rPr>
          <w:rFonts w:hint="cs"/>
          <w:rtl/>
        </w:rPr>
        <w:t>.11.18</w:t>
      </w:r>
      <w:r w:rsidR="00A83DB2">
        <w:rPr>
          <w:rFonts w:hint="cs"/>
          <w:rtl/>
        </w:rPr>
        <w:t>)</w:t>
      </w:r>
      <w:r w:rsidR="006E652F">
        <w:rPr>
          <w:rFonts w:hint="cs"/>
          <w:rtl/>
        </w:rPr>
        <w:t>;</w:t>
      </w:r>
      <w:r w:rsidR="000A1EEF">
        <w:rPr>
          <w:rFonts w:hint="cs"/>
          <w:rtl/>
        </w:rPr>
        <w:t xml:space="preserve">  </w:t>
      </w:r>
      <w:r w:rsidR="00A83DB2">
        <w:rPr>
          <w:rFonts w:hint="cs"/>
          <w:rtl/>
        </w:rPr>
        <w:t>כ</w:t>
      </w:r>
      <w:r w:rsidR="000A1EEF">
        <w:rPr>
          <w:rFonts w:hint="cs"/>
          <w:rtl/>
        </w:rPr>
        <w:t>ללי ההגבלים עסקיים (פטור סוג לכבילות נלוות למיזוגים), תשס"ט-2009, 201</w:t>
      </w:r>
      <w:r w:rsidR="00A83DB2">
        <w:rPr>
          <w:rFonts w:hint="cs"/>
          <w:rtl/>
        </w:rPr>
        <w:t>8</w:t>
      </w:r>
      <w:r w:rsidR="000A1EEF">
        <w:rPr>
          <w:rFonts w:hint="cs"/>
          <w:rtl/>
        </w:rPr>
        <w:t xml:space="preserve"> </w:t>
      </w:r>
      <w:r w:rsidR="000A1EEF">
        <w:rPr>
          <w:rFonts w:hint="cs"/>
          <w:b/>
          <w:bCs/>
          <w:rtl/>
        </w:rPr>
        <w:t>ההגבלים העסקיים</w:t>
      </w:r>
      <w:r w:rsidR="000A1EEF">
        <w:rPr>
          <w:rFonts w:hint="cs"/>
          <w:rtl/>
        </w:rPr>
        <w:t xml:space="preserve"> </w:t>
      </w:r>
      <w:r w:rsidR="003F71DF">
        <w:rPr>
          <w:rFonts w:hint="cs"/>
          <w:rtl/>
        </w:rPr>
        <w:t xml:space="preserve">501591 </w:t>
      </w:r>
      <w:r w:rsidR="00A83DB2">
        <w:rPr>
          <w:rFonts w:hint="cs"/>
          <w:rtl/>
        </w:rPr>
        <w:t>(</w:t>
      </w:r>
      <w:r w:rsidR="003F71DF">
        <w:rPr>
          <w:rFonts w:hint="cs"/>
          <w:rtl/>
        </w:rPr>
        <w:t>5</w:t>
      </w:r>
      <w:r w:rsidR="002C5715">
        <w:rPr>
          <w:rFonts w:hint="cs"/>
          <w:rtl/>
        </w:rPr>
        <w:t>.11.18</w:t>
      </w:r>
      <w:r w:rsidR="00A83DB2">
        <w:rPr>
          <w:rFonts w:hint="cs"/>
          <w:rtl/>
        </w:rPr>
        <w:t>)</w:t>
      </w:r>
      <w:r w:rsidR="000A1EEF">
        <w:rPr>
          <w:rFonts w:hint="cs"/>
          <w:rtl/>
        </w:rPr>
        <w:t>.</w:t>
      </w:r>
      <w:r w:rsidR="003F71DF">
        <w:rPr>
          <w:rFonts w:hint="cs"/>
          <w:rtl/>
        </w:rPr>
        <w:t xml:space="preserve"> תיקונים אלו ייכנסו לתוקף לאחר פרסומם ברשומות. </w:t>
      </w:r>
    </w:p>
  </w:footnote>
  <w:footnote w:id="4">
    <w:p w14:paraId="27F03B0E" w14:textId="166EB0FE" w:rsidR="00A0321A" w:rsidRPr="00A0321A" w:rsidRDefault="00A0321A" w:rsidP="00BF063F">
      <w:pPr>
        <w:pStyle w:val="FootnoteText"/>
        <w:spacing w:after="120"/>
      </w:pPr>
      <w:r>
        <w:rPr>
          <w:rStyle w:val="FootnoteReference"/>
        </w:rPr>
        <w:footnoteRef/>
      </w:r>
      <w:r>
        <w:rPr>
          <w:rtl/>
        </w:rPr>
        <w:t xml:space="preserve"> </w:t>
      </w:r>
      <w:r>
        <w:rPr>
          <w:rFonts w:hint="cs"/>
          <w:rtl/>
        </w:rPr>
        <w:t xml:space="preserve">תיקון מוצע לכללי ההגבלים העסקיים (פטור סוג להסדרים בין מובילים באוויר) (מס' 2), תשע"ד-2013, 2018 </w:t>
      </w:r>
      <w:r>
        <w:rPr>
          <w:rFonts w:hint="cs"/>
          <w:b/>
          <w:bCs/>
          <w:rtl/>
        </w:rPr>
        <w:t>ההגבלים העסקיים</w:t>
      </w:r>
      <w:r>
        <w:rPr>
          <w:rFonts w:hint="cs"/>
          <w:rtl/>
        </w:rPr>
        <w:t xml:space="preserve"> 501555 (6.8.18).</w:t>
      </w:r>
    </w:p>
  </w:footnote>
  <w:footnote w:id="5">
    <w:p w14:paraId="43AB54CC" w14:textId="55A7B6C8" w:rsidR="006C3B31" w:rsidRPr="00470F97" w:rsidRDefault="006C3B31" w:rsidP="003E7494">
      <w:pPr>
        <w:pStyle w:val="FootnoteText"/>
        <w:spacing w:after="120"/>
        <w:jc w:val="both"/>
        <w:rPr>
          <w:rtl/>
        </w:rPr>
      </w:pPr>
      <w:r>
        <w:rPr>
          <w:rStyle w:val="FootnoteReference"/>
        </w:rPr>
        <w:footnoteRef/>
      </w:r>
      <w:r>
        <w:rPr>
          <w:rtl/>
        </w:rPr>
        <w:t xml:space="preserve"> </w:t>
      </w:r>
      <w:r>
        <w:rPr>
          <w:rFonts w:hint="cs"/>
          <w:rtl/>
        </w:rPr>
        <w:t xml:space="preserve">כך גם בפטורי הסוג, הכוללים רובם ככולם תנאים העוסקים במידת העלילות לפגיעה בתחרות כתוצאה מן ההסדר, בין אם לפי שיטת </w:t>
      </w:r>
      <w:r w:rsidR="00413EE7">
        <w:rPr>
          <w:rFonts w:hint="cs"/>
          <w:rtl/>
        </w:rPr>
        <w:t>ההערכה</w:t>
      </w:r>
      <w:r>
        <w:rPr>
          <w:rFonts w:hint="cs"/>
          <w:rtl/>
        </w:rPr>
        <w:t xml:space="preserve"> העצמית (</w:t>
      </w:r>
      <w:r>
        <w:t>self-assessment</w:t>
      </w:r>
      <w:r>
        <w:rPr>
          <w:rFonts w:hint="cs"/>
          <w:rtl/>
        </w:rPr>
        <w:t xml:space="preserve">), לדוגמה </w:t>
      </w:r>
      <w:r w:rsidRPr="00FA1D93">
        <w:rPr>
          <w:rFonts w:asciiTheme="minorBidi" w:hAnsiTheme="minorBidi"/>
          <w:rtl/>
        </w:rPr>
        <w:t>כללי ההגבלים העסקיים (פטור סוג להסדרים שאינם אופקיים ואין בהם כבילות מחיר מסוימות), תשע"ג-2013, סע' 2(</w:t>
      </w:r>
      <w:r>
        <w:rPr>
          <w:rFonts w:asciiTheme="minorBidi" w:hAnsiTheme="minorBidi" w:hint="cs"/>
          <w:rtl/>
        </w:rPr>
        <w:t>1</w:t>
      </w:r>
      <w:r w:rsidRPr="00FA1D93">
        <w:rPr>
          <w:rFonts w:asciiTheme="minorBidi" w:hAnsiTheme="minorBidi"/>
          <w:rtl/>
        </w:rPr>
        <w:t>)</w:t>
      </w:r>
      <w:r>
        <w:rPr>
          <w:rFonts w:hint="cs"/>
          <w:rtl/>
        </w:rPr>
        <w:t>; ובין אם לפי השיטה של קביעת נתחי שוק מרביים, לדוגמה</w:t>
      </w:r>
      <w:r>
        <w:rPr>
          <w:rFonts w:asciiTheme="minorBidi" w:hAnsiTheme="minorBidi" w:hint="cs"/>
          <w:rtl/>
        </w:rPr>
        <w:t xml:space="preserve"> </w:t>
      </w:r>
      <w:r w:rsidRPr="00FA1D93">
        <w:rPr>
          <w:rFonts w:asciiTheme="minorBidi" w:hAnsiTheme="minorBidi"/>
          <w:rtl/>
        </w:rPr>
        <w:t>כללי ההגבלים העסקיים (פטור סוג</w:t>
      </w:r>
      <w:r w:rsidR="003E7494">
        <w:rPr>
          <w:rFonts w:asciiTheme="minorBidi" w:hAnsiTheme="minorBidi" w:hint="cs"/>
          <w:rtl/>
        </w:rPr>
        <w:t xml:space="preserve"> להסכמי רכישה בלעדית</w:t>
      </w:r>
      <w:r w:rsidR="00E3049B">
        <w:rPr>
          <w:rFonts w:asciiTheme="minorBidi" w:hAnsiTheme="minorBidi" w:hint="cs"/>
          <w:rtl/>
        </w:rPr>
        <w:t>)</w:t>
      </w:r>
      <w:r w:rsidR="003E7494">
        <w:rPr>
          <w:rFonts w:asciiTheme="minorBidi" w:hAnsiTheme="minorBidi" w:hint="cs"/>
          <w:rtl/>
        </w:rPr>
        <w:t xml:space="preserve"> (הוראת שעה), תשס"א-2001, סע' 3(2)</w:t>
      </w:r>
      <w:r>
        <w:rPr>
          <w:rFonts w:asciiTheme="minorBidi" w:hAnsiTheme="minorBidi" w:hint="cs"/>
          <w:rtl/>
        </w:rPr>
        <w:t xml:space="preserve">. </w:t>
      </w:r>
    </w:p>
  </w:footnote>
  <w:footnote w:id="6">
    <w:p w14:paraId="6D17BD4B" w14:textId="77777777" w:rsidR="006C3B31" w:rsidRDefault="006C3B31" w:rsidP="003034BC">
      <w:pPr>
        <w:pStyle w:val="FootnoteText"/>
        <w:spacing w:after="120"/>
        <w:jc w:val="both"/>
        <w:rPr>
          <w:rtl/>
        </w:rPr>
      </w:pPr>
      <w:r>
        <w:rPr>
          <w:rStyle w:val="FootnoteReference"/>
        </w:rPr>
        <w:footnoteRef/>
      </w:r>
      <w:r>
        <w:rPr>
          <w:rtl/>
        </w:rPr>
        <w:t xml:space="preserve"> </w:t>
      </w:r>
      <w:r>
        <w:rPr>
          <w:rFonts w:hint="cs"/>
          <w:rtl/>
        </w:rPr>
        <w:t xml:space="preserve">אין זו מטרת גילוי דעת זה לבחון את משמעות הביטוי </w:t>
      </w:r>
      <w:r>
        <w:rPr>
          <w:rFonts w:hint="cs"/>
          <w:b/>
          <w:bCs/>
          <w:rtl/>
        </w:rPr>
        <w:t>"כבילה"</w:t>
      </w:r>
      <w:r>
        <w:rPr>
          <w:rFonts w:hint="cs"/>
          <w:rtl/>
        </w:rPr>
        <w:t xml:space="preserve">, המופיע בהוראות שונות בחוק ההגבלים העסקיים. לדיון בביטוי </w:t>
      </w:r>
      <w:r>
        <w:rPr>
          <w:rFonts w:hint="cs"/>
          <w:b/>
          <w:bCs/>
          <w:rtl/>
        </w:rPr>
        <w:t>"כבילה"</w:t>
      </w:r>
      <w:r>
        <w:rPr>
          <w:rFonts w:hint="cs"/>
          <w:rtl/>
        </w:rPr>
        <w:t xml:space="preserve">, ראו ע"פ 5823/14 </w:t>
      </w:r>
      <w:r>
        <w:rPr>
          <w:rFonts w:hint="cs"/>
          <w:b/>
          <w:bCs/>
          <w:rtl/>
        </w:rPr>
        <w:t>שופרסל נ' מ.י.</w:t>
      </w:r>
      <w:r>
        <w:rPr>
          <w:rFonts w:hint="cs"/>
          <w:rtl/>
        </w:rPr>
        <w:t xml:space="preserve"> (נבו, 10.8.15), פס' לח-</w:t>
      </w:r>
      <w:proofErr w:type="spellStart"/>
      <w:r>
        <w:rPr>
          <w:rFonts w:hint="cs"/>
          <w:rtl/>
        </w:rPr>
        <w:t>מב</w:t>
      </w:r>
      <w:proofErr w:type="spellEnd"/>
      <w:r>
        <w:rPr>
          <w:rFonts w:hint="cs"/>
          <w:rtl/>
        </w:rPr>
        <w:t>.</w:t>
      </w:r>
    </w:p>
  </w:footnote>
  <w:footnote w:id="7">
    <w:p w14:paraId="403471D4" w14:textId="78B0DE11" w:rsidR="006C3B31" w:rsidRDefault="006C3B31" w:rsidP="00BD62B3">
      <w:pPr>
        <w:pStyle w:val="FootnoteText"/>
        <w:spacing w:after="120"/>
        <w:jc w:val="both"/>
        <w:rPr>
          <w:rtl/>
        </w:rPr>
      </w:pPr>
      <w:r>
        <w:rPr>
          <w:rStyle w:val="FootnoteReference"/>
        </w:rPr>
        <w:footnoteRef/>
      </w:r>
      <w:r>
        <w:rPr>
          <w:rtl/>
        </w:rPr>
        <w:t xml:space="preserve"> </w:t>
      </w:r>
      <w:r>
        <w:rPr>
          <w:rFonts w:hint="cs"/>
          <w:rtl/>
        </w:rPr>
        <w:t>ס"ח 1728 עמ' 113, 114 (20.2.00). באותו תיקון נוסף לחוק סע' 15א.</w:t>
      </w:r>
    </w:p>
  </w:footnote>
  <w:footnote w:id="8">
    <w:p w14:paraId="4BA4663D" w14:textId="2783A61D" w:rsidR="006C3B31" w:rsidRPr="00057443" w:rsidRDefault="006C3B31" w:rsidP="00BD62B3">
      <w:pPr>
        <w:spacing w:after="120" w:line="240" w:lineRule="auto"/>
        <w:jc w:val="both"/>
        <w:rPr>
          <w:b/>
          <w:bCs/>
          <w:rtl/>
        </w:rPr>
      </w:pPr>
      <w:r>
        <w:rPr>
          <w:rStyle w:val="FootnoteReference"/>
        </w:rPr>
        <w:footnoteRef/>
      </w:r>
      <w:r>
        <w:rPr>
          <w:rtl/>
        </w:rPr>
        <w:t xml:space="preserve"> </w:t>
      </w:r>
      <w:r w:rsidRPr="0049520E">
        <w:rPr>
          <w:rFonts w:asciiTheme="minorBidi" w:hAnsiTheme="minorBidi"/>
          <w:sz w:val="20"/>
          <w:szCs w:val="20"/>
          <w:rtl/>
        </w:rPr>
        <w:t>החלטת הממונה בדבר אי-מתן פטור בעניין מיזם ים תטיס – גרנית הכרמל בע"מ,</w:t>
      </w:r>
      <w:r>
        <w:rPr>
          <w:rFonts w:asciiTheme="minorBidi" w:hAnsiTheme="minorBidi" w:hint="cs"/>
          <w:sz w:val="20"/>
          <w:szCs w:val="20"/>
          <w:rtl/>
        </w:rPr>
        <w:t xml:space="preserve"> 2000</w:t>
      </w:r>
      <w:r w:rsidRPr="0049520E">
        <w:rPr>
          <w:rFonts w:asciiTheme="minorBidi" w:hAnsiTheme="minorBidi"/>
          <w:sz w:val="20"/>
          <w:szCs w:val="20"/>
          <w:rtl/>
        </w:rPr>
        <w:t xml:space="preserve"> </w:t>
      </w:r>
      <w:r w:rsidRPr="0049520E">
        <w:rPr>
          <w:rFonts w:asciiTheme="minorBidi" w:hAnsiTheme="minorBidi"/>
          <w:b/>
          <w:bCs/>
          <w:sz w:val="20"/>
          <w:szCs w:val="20"/>
          <w:rtl/>
        </w:rPr>
        <w:t>ההגבלים העסקיים</w:t>
      </w:r>
      <w:r w:rsidRPr="0049520E">
        <w:rPr>
          <w:rFonts w:asciiTheme="minorBidi" w:hAnsiTheme="minorBidi"/>
          <w:sz w:val="20"/>
          <w:szCs w:val="20"/>
          <w:rtl/>
        </w:rPr>
        <w:t xml:space="preserve"> </w:t>
      </w:r>
      <w:r>
        <w:rPr>
          <w:rFonts w:asciiTheme="minorBidi" w:hAnsiTheme="minorBidi" w:hint="cs"/>
          <w:sz w:val="20"/>
          <w:szCs w:val="20"/>
          <w:rtl/>
        </w:rPr>
        <w:t>3008959</w:t>
      </w:r>
      <w:r w:rsidRPr="0049520E">
        <w:rPr>
          <w:rFonts w:asciiTheme="minorBidi" w:hAnsiTheme="minorBidi"/>
          <w:sz w:val="20"/>
          <w:szCs w:val="20"/>
          <w:rtl/>
        </w:rPr>
        <w:t>, עמ'</w:t>
      </w:r>
      <w:r>
        <w:rPr>
          <w:rFonts w:asciiTheme="minorBidi" w:hAnsiTheme="minorBidi" w:hint="cs"/>
          <w:sz w:val="20"/>
          <w:szCs w:val="20"/>
          <w:rtl/>
        </w:rPr>
        <w:t xml:space="preserve"> 42.</w:t>
      </w:r>
    </w:p>
  </w:footnote>
  <w:footnote w:id="9">
    <w:p w14:paraId="37E829A6" w14:textId="410A25FC" w:rsidR="003B3E5E" w:rsidRPr="003B3E5E" w:rsidRDefault="003B3E5E" w:rsidP="003B3E5E">
      <w:pPr>
        <w:pStyle w:val="FootnoteText"/>
        <w:spacing w:after="120"/>
      </w:pPr>
      <w:r>
        <w:rPr>
          <w:rStyle w:val="FootnoteReference"/>
        </w:rPr>
        <w:footnoteRef/>
      </w:r>
      <w:r>
        <w:rPr>
          <w:rtl/>
        </w:rPr>
        <w:t xml:space="preserve"> </w:t>
      </w:r>
      <w:r>
        <w:rPr>
          <w:rFonts w:hint="cs"/>
          <w:rtl/>
        </w:rPr>
        <w:t xml:space="preserve">החלטה בדבר אי מתן פטור להסדר כובל בין איגוד המוסכים בישראל </w:t>
      </w:r>
      <w:r>
        <w:rPr>
          <w:rtl/>
        </w:rPr>
        <w:t>–</w:t>
      </w:r>
      <w:r>
        <w:rPr>
          <w:rFonts w:hint="cs"/>
          <w:rtl/>
        </w:rPr>
        <w:t xml:space="preserve"> ועד ענף פחחות וצבע לבין חברי האיגוד בעניין ניהול משא ומתן משותף, 2002 </w:t>
      </w:r>
      <w:r>
        <w:rPr>
          <w:rFonts w:hint="cs"/>
          <w:b/>
          <w:bCs/>
          <w:rtl/>
        </w:rPr>
        <w:t xml:space="preserve">ההגבלים העסקיים </w:t>
      </w:r>
      <w:r>
        <w:rPr>
          <w:rFonts w:hint="cs"/>
          <w:rtl/>
        </w:rPr>
        <w:t>3014515, עמ' 2.</w:t>
      </w:r>
    </w:p>
  </w:footnote>
  <w:footnote w:id="10">
    <w:p w14:paraId="5AF2E29B" w14:textId="2F88DCC9" w:rsidR="006C3B31" w:rsidRPr="003F5225" w:rsidRDefault="006C3B31" w:rsidP="00BD62B3">
      <w:pPr>
        <w:pStyle w:val="FootnoteText"/>
        <w:spacing w:after="120"/>
        <w:jc w:val="both"/>
      </w:pPr>
      <w:r>
        <w:rPr>
          <w:rStyle w:val="FootnoteReference"/>
        </w:rPr>
        <w:footnoteRef/>
      </w:r>
      <w:r>
        <w:rPr>
          <w:rtl/>
        </w:rPr>
        <w:t xml:space="preserve"> </w:t>
      </w:r>
      <w:r>
        <w:rPr>
          <w:rFonts w:hint="cs"/>
          <w:rtl/>
        </w:rPr>
        <w:t xml:space="preserve">ערר 1/97, </w:t>
      </w:r>
      <w:proofErr w:type="spellStart"/>
      <w:r>
        <w:rPr>
          <w:rFonts w:hint="cs"/>
          <w:b/>
          <w:bCs/>
          <w:rtl/>
        </w:rPr>
        <w:t>איסכור</w:t>
      </w:r>
      <w:proofErr w:type="spellEnd"/>
      <w:r>
        <w:rPr>
          <w:rFonts w:hint="cs"/>
          <w:b/>
          <w:bCs/>
          <w:rtl/>
        </w:rPr>
        <w:t xml:space="preserve"> שירותי פלדות נ' הממונה</w:t>
      </w:r>
      <w:r>
        <w:rPr>
          <w:rFonts w:hint="cs"/>
          <w:rtl/>
        </w:rPr>
        <w:t xml:space="preserve"> (נבו, 11.12.97), פס' 50; החלטה בדבר אי-מתן פטור להסדר בין מפעל הפיס לבין האגודה למען החייל, 1999 </w:t>
      </w:r>
      <w:r>
        <w:rPr>
          <w:rFonts w:hint="cs"/>
          <w:b/>
          <w:bCs/>
          <w:rtl/>
        </w:rPr>
        <w:t>ההגבלים העסקיים</w:t>
      </w:r>
      <w:r>
        <w:rPr>
          <w:rFonts w:hint="cs"/>
          <w:rtl/>
        </w:rPr>
        <w:t xml:space="preserve"> 3004184 עמ' 5-6; החלטה בעניין פטור לשיתוף פעולה בין מפעל הפיס לבין מגן דוד אדום בישראל, 1998 </w:t>
      </w:r>
      <w:r>
        <w:rPr>
          <w:rFonts w:hint="cs"/>
          <w:b/>
          <w:bCs/>
          <w:rtl/>
        </w:rPr>
        <w:t>ההגבלים העסקיים</w:t>
      </w:r>
      <w:r>
        <w:rPr>
          <w:rFonts w:hint="cs"/>
          <w:rtl/>
        </w:rPr>
        <w:t xml:space="preserve"> 3004188, עמ' 2.</w:t>
      </w:r>
    </w:p>
  </w:footnote>
  <w:footnote w:id="11">
    <w:p w14:paraId="4D07F798" w14:textId="5B46609C" w:rsidR="006C3B31" w:rsidRDefault="006C3B31" w:rsidP="00BD62B3">
      <w:pPr>
        <w:pStyle w:val="FootnoteText"/>
        <w:spacing w:after="120"/>
        <w:jc w:val="both"/>
      </w:pPr>
      <w:r>
        <w:rPr>
          <w:rStyle w:val="FootnoteReference"/>
        </w:rPr>
        <w:footnoteRef/>
      </w:r>
      <w:r>
        <w:rPr>
          <w:rtl/>
        </w:rPr>
        <w:t xml:space="preserve"> </w:t>
      </w:r>
      <w:proofErr w:type="spellStart"/>
      <w:r>
        <w:rPr>
          <w:rFonts w:hint="cs"/>
          <w:rtl/>
        </w:rPr>
        <w:t>ה"ע</w:t>
      </w:r>
      <w:proofErr w:type="spellEnd"/>
      <w:r>
        <w:rPr>
          <w:rFonts w:hint="cs"/>
          <w:rtl/>
        </w:rPr>
        <w:t xml:space="preserve"> 8008/03 </w:t>
      </w:r>
      <w:r>
        <w:rPr>
          <w:rFonts w:hint="cs"/>
          <w:b/>
          <w:bCs/>
          <w:rtl/>
        </w:rPr>
        <w:t>ארד בע"מ נ' הממונה</w:t>
      </w:r>
      <w:r>
        <w:rPr>
          <w:rFonts w:hint="cs"/>
          <w:rtl/>
        </w:rPr>
        <w:t xml:space="preserve"> (נבו 24.1.05), פס' 30; </w:t>
      </w:r>
      <w:proofErr w:type="spellStart"/>
      <w:r>
        <w:rPr>
          <w:rFonts w:hint="cs"/>
          <w:rtl/>
        </w:rPr>
        <w:t>ה"ע</w:t>
      </w:r>
      <w:proofErr w:type="spellEnd"/>
      <w:r>
        <w:rPr>
          <w:rFonts w:hint="cs"/>
          <w:rtl/>
        </w:rPr>
        <w:t xml:space="preserve"> 491/98 </w:t>
      </w:r>
      <w:r>
        <w:rPr>
          <w:rFonts w:hint="cs"/>
          <w:b/>
          <w:bCs/>
          <w:rtl/>
        </w:rPr>
        <w:t>חברת החשמל לישראל נ' הממונה</w:t>
      </w:r>
      <w:r>
        <w:rPr>
          <w:rFonts w:hint="cs"/>
          <w:rtl/>
        </w:rPr>
        <w:t xml:space="preserve"> (נבו, 22.3.99) פס' 47.</w:t>
      </w:r>
    </w:p>
  </w:footnote>
  <w:footnote w:id="12">
    <w:p w14:paraId="4074B7A6" w14:textId="769D6C07" w:rsidR="006C3B31" w:rsidRDefault="006C3B31" w:rsidP="00B2215C">
      <w:pPr>
        <w:pStyle w:val="FootnoteText"/>
        <w:spacing w:after="120"/>
        <w:jc w:val="both"/>
        <w:rPr>
          <w:rtl/>
        </w:rPr>
      </w:pPr>
      <w:r>
        <w:rPr>
          <w:rStyle w:val="FootnoteReference"/>
        </w:rPr>
        <w:footnoteRef/>
      </w:r>
      <w:r>
        <w:rPr>
          <w:rtl/>
        </w:rPr>
        <w:t xml:space="preserve"> </w:t>
      </w:r>
      <w:r w:rsidR="00B2215C">
        <w:t xml:space="preserve">P. </w:t>
      </w:r>
      <w:proofErr w:type="spellStart"/>
      <w:r w:rsidR="00B2215C">
        <w:t>Areeda</w:t>
      </w:r>
      <w:proofErr w:type="spellEnd"/>
      <w:r w:rsidR="00B2215C">
        <w:t xml:space="preserve"> &amp; </w:t>
      </w:r>
      <w:r>
        <w:t xml:space="preserve">H. </w:t>
      </w:r>
      <w:proofErr w:type="spellStart"/>
      <w:r>
        <w:t>Hovenkamp</w:t>
      </w:r>
      <w:proofErr w:type="spellEnd"/>
      <w:r>
        <w:t xml:space="preserve">, </w:t>
      </w:r>
      <w:r>
        <w:rPr>
          <w:b/>
          <w:bCs/>
        </w:rPr>
        <w:t>Antitrust Law</w:t>
      </w:r>
      <w:r>
        <w:t xml:space="preserve">  (</w:t>
      </w:r>
      <w:r w:rsidR="00B2215C">
        <w:t>updated 9/2017</w:t>
      </w:r>
      <w:r>
        <w:t xml:space="preserve">), </w:t>
      </w:r>
      <w:r>
        <w:rPr>
          <w:rFonts w:ascii="Arial" w:hAnsi="Arial" w:cs="Arial"/>
        </w:rPr>
        <w:t>¶</w:t>
      </w:r>
      <w:r>
        <w:t>1904</w:t>
      </w:r>
    </w:p>
  </w:footnote>
  <w:footnote w:id="13">
    <w:p w14:paraId="69EFE4E6" w14:textId="4A0F0D36" w:rsidR="000963C0" w:rsidRPr="00057443" w:rsidRDefault="000963C0" w:rsidP="000963C0">
      <w:pPr>
        <w:pStyle w:val="FootnoteText"/>
        <w:spacing w:after="120"/>
        <w:jc w:val="both"/>
        <w:rPr>
          <w:b/>
          <w:bCs/>
          <w:rtl/>
        </w:rPr>
      </w:pPr>
      <w:r>
        <w:rPr>
          <w:rStyle w:val="FootnoteReference"/>
        </w:rPr>
        <w:footnoteRef/>
      </w:r>
      <w:r>
        <w:rPr>
          <w:rtl/>
        </w:rPr>
        <w:t xml:space="preserve"> </w:t>
      </w:r>
      <w:r>
        <w:rPr>
          <w:rFonts w:hint="cs"/>
          <w:rtl/>
        </w:rPr>
        <w:t xml:space="preserve">דברי הכנסת, 9.2.00, עמ' 13. </w:t>
      </w:r>
      <w:r w:rsidR="00C128A3" w:rsidRPr="00EB6630">
        <w:rPr>
          <w:rFonts w:hint="cs"/>
          <w:rtl/>
        </w:rPr>
        <w:t>כאן ובכל המובאות בגילוי דעת זה, ההדגשות אינן במקור.</w:t>
      </w:r>
    </w:p>
  </w:footnote>
  <w:footnote w:id="14">
    <w:p w14:paraId="0F66CC9C" w14:textId="77777777" w:rsidR="006C3B31" w:rsidRPr="000F7517" w:rsidRDefault="006C3B31" w:rsidP="00BD62B3">
      <w:pPr>
        <w:pStyle w:val="FootnoteText"/>
        <w:spacing w:after="120"/>
        <w:jc w:val="both"/>
      </w:pPr>
      <w:r>
        <w:rPr>
          <w:rStyle w:val="FootnoteReference"/>
        </w:rPr>
        <w:footnoteRef/>
      </w:r>
      <w:r>
        <w:rPr>
          <w:rtl/>
        </w:rPr>
        <w:t xml:space="preserve"> </w:t>
      </w:r>
      <w:r>
        <w:rPr>
          <w:rFonts w:hint="cs"/>
          <w:rtl/>
        </w:rPr>
        <w:t xml:space="preserve">החלטה לפי סעיף 14 לחוק ההגבלים העסקיים, מתן פטור בתנאים בעניין דיינמיקס </w:t>
      </w:r>
      <w:proofErr w:type="spellStart"/>
      <w:r>
        <w:rPr>
          <w:rFonts w:hint="cs"/>
          <w:rtl/>
        </w:rPr>
        <w:t>פרמצוטיקבלס</w:t>
      </w:r>
      <w:proofErr w:type="spellEnd"/>
      <w:r>
        <w:rPr>
          <w:rFonts w:hint="cs"/>
          <w:rtl/>
        </w:rPr>
        <w:t xml:space="preserve"> בע"מ וטבע תעשיות פרמצבטיות בע"מ, 5001358 </w:t>
      </w:r>
      <w:r>
        <w:rPr>
          <w:rFonts w:hint="cs"/>
          <w:b/>
          <w:bCs/>
          <w:rtl/>
        </w:rPr>
        <w:t xml:space="preserve">ההגבלים העסקיים </w:t>
      </w:r>
      <w:r>
        <w:rPr>
          <w:rFonts w:hint="cs"/>
          <w:rtl/>
        </w:rPr>
        <w:t>(2009).</w:t>
      </w:r>
    </w:p>
  </w:footnote>
  <w:footnote w:id="15">
    <w:p w14:paraId="75C43025" w14:textId="77777777" w:rsidR="006C3B31" w:rsidRPr="000F7517" w:rsidRDefault="006C3B31" w:rsidP="00BD62B3">
      <w:pPr>
        <w:pStyle w:val="FootnoteText"/>
        <w:spacing w:after="120"/>
        <w:jc w:val="both"/>
        <w:rPr>
          <w:rtl/>
        </w:rPr>
      </w:pPr>
      <w:r>
        <w:rPr>
          <w:rStyle w:val="FootnoteReference"/>
        </w:rPr>
        <w:footnoteRef/>
      </w:r>
      <w:r>
        <w:rPr>
          <w:rtl/>
        </w:rPr>
        <w:t xml:space="preserve"> </w:t>
      </w:r>
      <w:r w:rsidRPr="00B82325">
        <w:rPr>
          <w:rFonts w:hint="cs"/>
          <w:rtl/>
        </w:rPr>
        <w:t xml:space="preserve">החלטה לפי סעיף 14 לחוק ההגבלים העסקיים, מתן פטור בתנאים בעניין הוצאת עיתון הארץ בע"מ ובר </w:t>
      </w:r>
      <w:proofErr w:type="spellStart"/>
      <w:r w:rsidRPr="00B82325">
        <w:rPr>
          <w:rFonts w:hint="cs"/>
          <w:rtl/>
        </w:rPr>
        <w:t>בי.טו.די</w:t>
      </w:r>
      <w:proofErr w:type="spellEnd"/>
      <w:r w:rsidRPr="00B82325">
        <w:rPr>
          <w:rFonts w:hint="cs"/>
          <w:rtl/>
        </w:rPr>
        <w:t>. בע"מ, 2017</w:t>
      </w:r>
      <w:r>
        <w:rPr>
          <w:rFonts w:hint="cs"/>
          <w:rtl/>
        </w:rPr>
        <w:t xml:space="preserve"> </w:t>
      </w:r>
      <w:r>
        <w:rPr>
          <w:rFonts w:hint="cs"/>
          <w:b/>
          <w:bCs/>
          <w:rtl/>
        </w:rPr>
        <w:t>ההגבלים העסקיים</w:t>
      </w:r>
      <w:r>
        <w:rPr>
          <w:rFonts w:hint="cs"/>
          <w:rtl/>
        </w:rPr>
        <w:t xml:space="preserve"> 501233.</w:t>
      </w:r>
    </w:p>
  </w:footnote>
  <w:footnote w:id="16">
    <w:p w14:paraId="1997CB74" w14:textId="6B3CB8D3" w:rsidR="006C3B31" w:rsidRPr="00D534C9" w:rsidRDefault="006C3B31" w:rsidP="00BD62B3">
      <w:pPr>
        <w:pStyle w:val="FootnoteText"/>
        <w:spacing w:after="120"/>
        <w:jc w:val="both"/>
        <w:rPr>
          <w:rtl/>
        </w:rPr>
      </w:pPr>
      <w:r>
        <w:rPr>
          <w:rStyle w:val="FootnoteReference"/>
        </w:rPr>
        <w:footnoteRef/>
      </w:r>
      <w:r>
        <w:rPr>
          <w:rtl/>
        </w:rPr>
        <w:t xml:space="preserve"> </w:t>
      </w:r>
      <w:r>
        <w:rPr>
          <w:rFonts w:hint="cs"/>
          <w:rtl/>
        </w:rPr>
        <w:t xml:space="preserve">החלטה לפי סעיף 14 לחוק ההגבלים העסקיים, מתן פטור בתנאים בעניין הסדר שבין לב גרוף מדיה בע"מ </w:t>
      </w:r>
      <w:proofErr w:type="spellStart"/>
      <w:r>
        <w:rPr>
          <w:rFonts w:hint="cs"/>
          <w:rtl/>
        </w:rPr>
        <w:t>והליקון</w:t>
      </w:r>
      <w:proofErr w:type="spellEnd"/>
      <w:r>
        <w:rPr>
          <w:rFonts w:hint="cs"/>
          <w:rtl/>
        </w:rPr>
        <w:t xml:space="preserve"> בע"מ, 2015 </w:t>
      </w:r>
      <w:r>
        <w:rPr>
          <w:rFonts w:hint="cs"/>
          <w:b/>
          <w:bCs/>
          <w:rtl/>
        </w:rPr>
        <w:t xml:space="preserve">ההגבלים העסקיים </w:t>
      </w:r>
      <w:r>
        <w:rPr>
          <w:rFonts w:hint="cs"/>
          <w:rtl/>
        </w:rPr>
        <w:t xml:space="preserve">500756. </w:t>
      </w:r>
    </w:p>
  </w:footnote>
  <w:footnote w:id="17">
    <w:p w14:paraId="15E75E45" w14:textId="627083DE" w:rsidR="006B17D2" w:rsidRPr="006B17D2" w:rsidRDefault="006B17D2" w:rsidP="00FD1DB7">
      <w:pPr>
        <w:pStyle w:val="FootnoteText"/>
        <w:spacing w:after="120"/>
      </w:pPr>
      <w:r>
        <w:rPr>
          <w:rStyle w:val="FootnoteReference"/>
        </w:rPr>
        <w:footnoteRef/>
      </w:r>
      <w:r>
        <w:rPr>
          <w:rtl/>
        </w:rPr>
        <w:t xml:space="preserve"> </w:t>
      </w:r>
      <w:r>
        <w:rPr>
          <w:rFonts w:hint="cs"/>
          <w:rtl/>
        </w:rPr>
        <w:t xml:space="preserve">החלטה לפי סעיף 14 לחוק ההגבלים העסקיים, מתן פטור להסדר שבין מפעלי ים המלח בע"מ ובין רמת נגב בע"מ, 2018 </w:t>
      </w:r>
      <w:r>
        <w:rPr>
          <w:rFonts w:hint="cs"/>
          <w:b/>
          <w:bCs/>
          <w:rtl/>
        </w:rPr>
        <w:t>ההגבלים העסקיים</w:t>
      </w:r>
      <w:r>
        <w:rPr>
          <w:rFonts w:hint="cs"/>
          <w:rtl/>
        </w:rPr>
        <w:t xml:space="preserve"> 501560.</w:t>
      </w:r>
    </w:p>
  </w:footnote>
  <w:footnote w:id="18">
    <w:p w14:paraId="65E24E3D" w14:textId="4270AA10" w:rsidR="006B17D2" w:rsidRPr="006B17D2" w:rsidRDefault="006B17D2" w:rsidP="00FD1DB7">
      <w:pPr>
        <w:pStyle w:val="FootnoteText"/>
        <w:spacing w:after="120"/>
      </w:pPr>
      <w:r>
        <w:rPr>
          <w:rStyle w:val="FootnoteReference"/>
        </w:rPr>
        <w:footnoteRef/>
      </w:r>
      <w:r>
        <w:rPr>
          <w:rtl/>
        </w:rPr>
        <w:t xml:space="preserve"> </w:t>
      </w:r>
      <w:r>
        <w:rPr>
          <w:rFonts w:hint="cs"/>
          <w:rtl/>
        </w:rPr>
        <w:t xml:space="preserve">החלטה לפי סעיף 14 לחוק ההגבלים העסקיים, מתן פטור להסדר שבין תנובה מרכז שיתופי לשיווק תוצרת חקלאית בישראל בע"מ </w:t>
      </w:r>
      <w:proofErr w:type="spellStart"/>
      <w:r>
        <w:rPr>
          <w:rFonts w:hint="cs"/>
          <w:rtl/>
        </w:rPr>
        <w:t>וא.י.ן</w:t>
      </w:r>
      <w:proofErr w:type="spellEnd"/>
      <w:r>
        <w:rPr>
          <w:rFonts w:hint="cs"/>
          <w:rtl/>
        </w:rPr>
        <w:t xml:space="preserve"> תעשיות מזון בע"מ, 2018 </w:t>
      </w:r>
      <w:r>
        <w:rPr>
          <w:rFonts w:hint="cs"/>
          <w:b/>
          <w:bCs/>
          <w:rtl/>
        </w:rPr>
        <w:t>ההגבלים העסקיים</w:t>
      </w:r>
      <w:r>
        <w:rPr>
          <w:rFonts w:hint="cs"/>
          <w:rtl/>
        </w:rPr>
        <w:t xml:space="preserve"> 501498.</w:t>
      </w:r>
    </w:p>
  </w:footnote>
  <w:footnote w:id="19">
    <w:p w14:paraId="0277F37B" w14:textId="77777777" w:rsidR="006C3B31" w:rsidRPr="007C11A8" w:rsidRDefault="006C3B31" w:rsidP="00BD62B3">
      <w:pPr>
        <w:pStyle w:val="FootnoteText"/>
        <w:spacing w:after="120"/>
        <w:jc w:val="both"/>
      </w:pPr>
      <w:r>
        <w:rPr>
          <w:rStyle w:val="FootnoteReference"/>
        </w:rPr>
        <w:footnoteRef/>
      </w:r>
      <w:r>
        <w:rPr>
          <w:rtl/>
        </w:rPr>
        <w:t xml:space="preserve"> </w:t>
      </w:r>
      <w:proofErr w:type="spellStart"/>
      <w:r>
        <w:rPr>
          <w:rFonts w:hint="cs"/>
          <w:rtl/>
        </w:rPr>
        <w:t>ה"ע</w:t>
      </w:r>
      <w:proofErr w:type="spellEnd"/>
      <w:r>
        <w:rPr>
          <w:rFonts w:hint="cs"/>
          <w:rtl/>
        </w:rPr>
        <w:t xml:space="preserve"> 3574/00 </w:t>
      </w:r>
      <w:r>
        <w:rPr>
          <w:rFonts w:hint="cs"/>
          <w:b/>
          <w:bCs/>
          <w:rtl/>
        </w:rPr>
        <w:t>הפדרציה למוזיקה ושראלית וים תיכונית נ' הממונה</w:t>
      </w:r>
      <w:r>
        <w:rPr>
          <w:rFonts w:hint="cs"/>
          <w:rtl/>
        </w:rPr>
        <w:t xml:space="preserve"> (נבו, 30.4.04). </w:t>
      </w:r>
    </w:p>
  </w:footnote>
  <w:footnote w:id="20">
    <w:p w14:paraId="7D524E39" w14:textId="030EDF5F" w:rsidR="006C3B31" w:rsidRDefault="006C3B31" w:rsidP="00BD62B3">
      <w:pPr>
        <w:pStyle w:val="FootnoteText"/>
        <w:spacing w:after="120"/>
        <w:jc w:val="both"/>
        <w:rPr>
          <w:rtl/>
        </w:rPr>
      </w:pPr>
      <w:r>
        <w:rPr>
          <w:rStyle w:val="FootnoteReference"/>
        </w:rPr>
        <w:footnoteRef/>
      </w:r>
      <w:r>
        <w:rPr>
          <w:rFonts w:hint="cs"/>
          <w:rtl/>
        </w:rPr>
        <w:t xml:space="preserve"> </w:t>
      </w:r>
      <w:r>
        <w:rPr>
          <w:b/>
          <w:bCs/>
        </w:rPr>
        <w:t>Polk Bros. v. Forest City Enterprises</w:t>
      </w:r>
      <w:r>
        <w:t>, 776 F2d 185 (7th Cir. 1985</w:t>
      </w:r>
      <w:proofErr w:type="gramStart"/>
      <w:r>
        <w:t>)</w:t>
      </w:r>
      <w:r>
        <w:rPr>
          <w:rtl/>
        </w:rPr>
        <w:t xml:space="preserve"> </w:t>
      </w:r>
      <w:r>
        <w:rPr>
          <w:rFonts w:hint="cs"/>
          <w:rtl/>
        </w:rPr>
        <w:t>.</w:t>
      </w:r>
      <w:proofErr w:type="gramEnd"/>
    </w:p>
  </w:footnote>
  <w:footnote w:id="21">
    <w:p w14:paraId="4CA23BA7" w14:textId="246E69E3" w:rsidR="006C3B31" w:rsidRDefault="006C3B31" w:rsidP="00BD62B3">
      <w:pPr>
        <w:pStyle w:val="FootnoteText"/>
        <w:spacing w:after="120"/>
        <w:jc w:val="both"/>
        <w:rPr>
          <w:rtl/>
        </w:rPr>
      </w:pPr>
      <w:r>
        <w:rPr>
          <w:rStyle w:val="FootnoteReference"/>
        </w:rPr>
        <w:footnoteRef/>
      </w:r>
      <w:r>
        <w:rPr>
          <w:rtl/>
        </w:rPr>
        <w:t xml:space="preserve"> </w:t>
      </w:r>
      <w:proofErr w:type="spellStart"/>
      <w:proofErr w:type="gramStart"/>
      <w:r>
        <w:rPr>
          <w:b/>
          <w:bCs/>
        </w:rPr>
        <w:t>Rothery</w:t>
      </w:r>
      <w:proofErr w:type="spellEnd"/>
      <w:r>
        <w:rPr>
          <w:b/>
          <w:bCs/>
        </w:rPr>
        <w:t xml:space="preserve"> Storage &amp; Van v. Atlas Van Lines,</w:t>
      </w:r>
      <w:r>
        <w:t xml:space="preserve"> 792 F.2d 210 (D.C. Cir. 1986)</w:t>
      </w:r>
      <w:r>
        <w:rPr>
          <w:rFonts w:hint="cs"/>
          <w:rtl/>
        </w:rPr>
        <w:t>.</w:t>
      </w:r>
      <w:proofErr w:type="gramEnd"/>
    </w:p>
  </w:footnote>
  <w:footnote w:id="22">
    <w:p w14:paraId="662F9621" w14:textId="00584018" w:rsidR="006C3B31" w:rsidRDefault="006C3B31" w:rsidP="00BD62B3">
      <w:pPr>
        <w:pStyle w:val="FootnoteText"/>
        <w:spacing w:after="120"/>
        <w:jc w:val="both"/>
      </w:pPr>
      <w:r>
        <w:rPr>
          <w:rStyle w:val="FootnoteReference"/>
        </w:rPr>
        <w:footnoteRef/>
      </w:r>
      <w:r>
        <w:rPr>
          <w:rtl/>
        </w:rPr>
        <w:t xml:space="preserve"> </w:t>
      </w:r>
      <w:proofErr w:type="gramStart"/>
      <w:r>
        <w:t xml:space="preserve">Case T-112/99, </w:t>
      </w:r>
      <w:r>
        <w:rPr>
          <w:b/>
          <w:bCs/>
        </w:rPr>
        <w:t>Metropole Television v. Commission</w:t>
      </w:r>
      <w:r>
        <w:t xml:space="preserve"> [2001] ECR II-2459</w:t>
      </w:r>
      <w:r>
        <w:rPr>
          <w:rFonts w:hint="cs"/>
          <w:rtl/>
        </w:rPr>
        <w:t>.</w:t>
      </w:r>
      <w:proofErr w:type="gramEnd"/>
    </w:p>
  </w:footnote>
  <w:footnote w:id="23">
    <w:p w14:paraId="4EC468B6" w14:textId="0FF5F2A9" w:rsidR="006C3B31" w:rsidRPr="009C2141" w:rsidRDefault="006C3B31" w:rsidP="00BD62B3">
      <w:pPr>
        <w:pStyle w:val="FootnoteText"/>
        <w:spacing w:after="120"/>
        <w:jc w:val="both"/>
        <w:rPr>
          <w:rtl/>
        </w:rPr>
      </w:pPr>
      <w:r>
        <w:rPr>
          <w:rStyle w:val="FootnoteReference"/>
        </w:rPr>
        <w:footnoteRef/>
      </w:r>
      <w:r>
        <w:rPr>
          <w:rtl/>
        </w:rPr>
        <w:t xml:space="preserve"> </w:t>
      </w:r>
      <w:r>
        <w:rPr>
          <w:rFonts w:hint="cs"/>
          <w:rtl/>
        </w:rPr>
        <w:t xml:space="preserve">ע"א 6343/11 </w:t>
      </w:r>
      <w:proofErr w:type="spellStart"/>
      <w:r>
        <w:rPr>
          <w:rFonts w:hint="cs"/>
          <w:b/>
          <w:bCs/>
          <w:rtl/>
        </w:rPr>
        <w:t>הולנדיה</w:t>
      </w:r>
      <w:proofErr w:type="spellEnd"/>
      <w:r>
        <w:rPr>
          <w:rFonts w:hint="cs"/>
          <w:b/>
          <w:bCs/>
          <w:rtl/>
        </w:rPr>
        <w:t xml:space="preserve"> המרכז להנדסת השינה בע"מ נ' הממונה </w:t>
      </w:r>
      <w:r>
        <w:rPr>
          <w:rFonts w:hint="cs"/>
          <w:rtl/>
        </w:rPr>
        <w:t xml:space="preserve">(נבו, 24.12.13); </w:t>
      </w:r>
      <w:proofErr w:type="spellStart"/>
      <w:r>
        <w:rPr>
          <w:b/>
          <w:bCs/>
        </w:rPr>
        <w:t>Dunafon</w:t>
      </w:r>
      <w:proofErr w:type="spellEnd"/>
      <w:r>
        <w:rPr>
          <w:b/>
          <w:bCs/>
        </w:rPr>
        <w:t xml:space="preserve"> v. Delaware McDonald's Corp.</w:t>
      </w:r>
      <w:r>
        <w:t xml:space="preserve">, </w:t>
      </w:r>
      <w:proofErr w:type="gramStart"/>
      <w:r>
        <w:t xml:space="preserve">691 </w:t>
      </w:r>
      <w:proofErr w:type="spellStart"/>
      <w:r>
        <w:t>F.Supp</w:t>
      </w:r>
      <w:proofErr w:type="spellEnd"/>
      <w:proofErr w:type="gramEnd"/>
      <w:r>
        <w:t xml:space="preserve">. </w:t>
      </w:r>
      <w:proofErr w:type="gramStart"/>
      <w:r>
        <w:t>1232 (</w:t>
      </w:r>
      <w:proofErr w:type="spellStart"/>
      <w:r>
        <w:t>W.D.Mo</w:t>
      </w:r>
      <w:proofErr w:type="spellEnd"/>
      <w:r>
        <w:t>. 1988)</w:t>
      </w:r>
      <w:r>
        <w:rPr>
          <w:rFonts w:hint="cs"/>
          <w:rtl/>
        </w:rPr>
        <w:t>.</w:t>
      </w:r>
      <w:proofErr w:type="gramEnd"/>
      <w:r>
        <w:rPr>
          <w:rFonts w:hint="cs"/>
          <w:rtl/>
        </w:rPr>
        <w:t xml:space="preserve"> </w:t>
      </w:r>
    </w:p>
  </w:footnote>
  <w:footnote w:id="24">
    <w:p w14:paraId="2C100C21" w14:textId="7E02EDB4" w:rsidR="006C3B31" w:rsidRPr="002C003E" w:rsidRDefault="006C3B31" w:rsidP="00BD62B3">
      <w:pPr>
        <w:pStyle w:val="FootnoteText"/>
        <w:spacing w:after="120"/>
        <w:jc w:val="both"/>
        <w:rPr>
          <w:rtl/>
        </w:rPr>
      </w:pPr>
      <w:r>
        <w:rPr>
          <w:rStyle w:val="FootnoteReference"/>
        </w:rPr>
        <w:footnoteRef/>
      </w:r>
      <w:r>
        <w:rPr>
          <w:rtl/>
        </w:rPr>
        <w:t xml:space="preserve"> </w:t>
      </w:r>
      <w:proofErr w:type="spellStart"/>
      <w:r>
        <w:rPr>
          <w:b/>
          <w:bCs/>
        </w:rPr>
        <w:t>Princo</w:t>
      </w:r>
      <w:proofErr w:type="spellEnd"/>
      <w:r>
        <w:rPr>
          <w:b/>
          <w:bCs/>
        </w:rPr>
        <w:t xml:space="preserve"> v. International Trade Commission</w:t>
      </w:r>
      <w:r>
        <w:t xml:space="preserve">, </w:t>
      </w:r>
      <w:proofErr w:type="gramStart"/>
      <w:r>
        <w:t>616 F.3d 1318</w:t>
      </w:r>
      <w:proofErr w:type="gramEnd"/>
      <w:r>
        <w:t xml:space="preserve"> (Fed. </w:t>
      </w:r>
      <w:proofErr w:type="gramStart"/>
      <w:r>
        <w:t>Cir. 2010)</w:t>
      </w:r>
      <w:r>
        <w:rPr>
          <w:rFonts w:hint="cs"/>
          <w:rtl/>
        </w:rPr>
        <w:t>.</w:t>
      </w:r>
      <w:proofErr w:type="gramEnd"/>
    </w:p>
  </w:footnote>
  <w:footnote w:id="25">
    <w:p w14:paraId="0C6337DA" w14:textId="2A06C13D" w:rsidR="006C3B31" w:rsidRPr="002C003E" w:rsidRDefault="006C3B31" w:rsidP="00BD62B3">
      <w:pPr>
        <w:pStyle w:val="FootnoteText"/>
        <w:spacing w:after="120"/>
        <w:jc w:val="both"/>
        <w:rPr>
          <w:rtl/>
        </w:rPr>
      </w:pPr>
      <w:r>
        <w:rPr>
          <w:rStyle w:val="FootnoteReference"/>
        </w:rPr>
        <w:footnoteRef/>
      </w:r>
      <w:r>
        <w:rPr>
          <w:rtl/>
        </w:rPr>
        <w:t xml:space="preserve"> </w:t>
      </w:r>
      <w:proofErr w:type="spellStart"/>
      <w:proofErr w:type="gramStart"/>
      <w:r>
        <w:rPr>
          <w:b/>
          <w:bCs/>
        </w:rPr>
        <w:t>Addamax</w:t>
      </w:r>
      <w:proofErr w:type="spellEnd"/>
      <w:r>
        <w:rPr>
          <w:b/>
          <w:bCs/>
        </w:rPr>
        <w:t xml:space="preserve"> Corp. v. Open Software Foundation</w:t>
      </w:r>
      <w:r>
        <w:t>, 152 F.3d 48 (1</w:t>
      </w:r>
      <w:r w:rsidRPr="00057443">
        <w:rPr>
          <w:vertAlign w:val="superscript"/>
        </w:rPr>
        <w:t>st</w:t>
      </w:r>
      <w:r>
        <w:t xml:space="preserve"> Cir. 1998)</w:t>
      </w:r>
      <w:r>
        <w:rPr>
          <w:rFonts w:hint="cs"/>
          <w:rtl/>
        </w:rPr>
        <w:t>.</w:t>
      </w:r>
      <w:proofErr w:type="gramEnd"/>
      <w:r>
        <w:rPr>
          <w:rFonts w:hint="cs"/>
          <w:rtl/>
        </w:rPr>
        <w:t xml:space="preserve"> </w:t>
      </w:r>
    </w:p>
  </w:footnote>
  <w:footnote w:id="26">
    <w:p w14:paraId="65456C42" w14:textId="1571A3B1" w:rsidR="006C3B31" w:rsidRPr="002C003E" w:rsidRDefault="006C3B31" w:rsidP="00BD62B3">
      <w:pPr>
        <w:pStyle w:val="FootnoteText"/>
        <w:spacing w:after="120"/>
        <w:jc w:val="both"/>
        <w:rPr>
          <w:rtl/>
        </w:rPr>
      </w:pPr>
      <w:r>
        <w:rPr>
          <w:rStyle w:val="FootnoteReference"/>
        </w:rPr>
        <w:footnoteRef/>
      </w:r>
      <w:r>
        <w:rPr>
          <w:rtl/>
        </w:rPr>
        <w:t xml:space="preserve"> </w:t>
      </w:r>
      <w:proofErr w:type="gramStart"/>
      <w:r>
        <w:rPr>
          <w:b/>
          <w:bCs/>
        </w:rPr>
        <w:t>Los Angeles Memorial Coliseum v. National Football League</w:t>
      </w:r>
      <w:r>
        <w:t>, 726 F.2d 1381 (9</w:t>
      </w:r>
      <w:r w:rsidRPr="00057443">
        <w:rPr>
          <w:vertAlign w:val="superscript"/>
        </w:rPr>
        <w:t>th</w:t>
      </w:r>
      <w:r>
        <w:t xml:space="preserve"> Cir. 1984)</w:t>
      </w:r>
      <w:r>
        <w:rPr>
          <w:rFonts w:hint="cs"/>
          <w:rtl/>
        </w:rPr>
        <w:t>.</w:t>
      </w:r>
      <w:proofErr w:type="gramEnd"/>
      <w:r>
        <w:rPr>
          <w:rFonts w:hint="cs"/>
          <w:rtl/>
        </w:rPr>
        <w:t xml:space="preserve"> </w:t>
      </w:r>
    </w:p>
  </w:footnote>
  <w:footnote w:id="27">
    <w:p w14:paraId="5FF1DC58" w14:textId="4B8CE615" w:rsidR="006C3B31" w:rsidRPr="001B7981" w:rsidRDefault="006C3B31" w:rsidP="00BD62B3">
      <w:pPr>
        <w:pStyle w:val="FootnoteText"/>
        <w:spacing w:after="120"/>
        <w:jc w:val="both"/>
        <w:rPr>
          <w:rtl/>
        </w:rPr>
      </w:pPr>
      <w:r>
        <w:rPr>
          <w:rStyle w:val="FootnoteReference"/>
        </w:rPr>
        <w:footnoteRef/>
      </w:r>
      <w:r>
        <w:rPr>
          <w:rtl/>
        </w:rPr>
        <w:t xml:space="preserve"> </w:t>
      </w:r>
      <w:r>
        <w:rPr>
          <w:rFonts w:hint="cs"/>
          <w:rtl/>
        </w:rPr>
        <w:t xml:space="preserve">פס"ד </w:t>
      </w:r>
      <w:r>
        <w:rPr>
          <w:b/>
          <w:bCs/>
        </w:rPr>
        <w:t>Polk Bros.</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Ref508202139 \h</w:instrText>
      </w:r>
      <w:r>
        <w:rPr>
          <w:rtl/>
        </w:rPr>
        <w:instrText xml:space="preserve"> </w:instrText>
      </w:r>
      <w:r>
        <w:rPr>
          <w:rtl/>
        </w:rPr>
      </w:r>
      <w:r>
        <w:rPr>
          <w:rtl/>
        </w:rPr>
        <w:fldChar w:fldCharType="separate"/>
      </w:r>
      <w:r w:rsidR="003F71DF">
        <w:rPr>
          <w:rtl/>
        </w:rPr>
        <w:t>20</w:t>
      </w:r>
      <w:r>
        <w:rPr>
          <w:rtl/>
        </w:rPr>
        <w:fldChar w:fldCharType="end"/>
      </w:r>
      <w:r>
        <w:rPr>
          <w:rFonts w:hint="cs"/>
          <w:rtl/>
        </w:rPr>
        <w:t xml:space="preserve"> לעיל, בעמ' 190; </w:t>
      </w:r>
      <w:r>
        <w:t xml:space="preserve">R. </w:t>
      </w:r>
      <w:proofErr w:type="gramStart"/>
      <w:r>
        <w:t xml:space="preserve">Bork, </w:t>
      </w:r>
      <w:r>
        <w:rPr>
          <w:b/>
          <w:bCs/>
        </w:rPr>
        <w:t>The Antitrust Paradox</w:t>
      </w:r>
      <w:r>
        <w:t xml:space="preserve"> (1993 ed.)</w:t>
      </w:r>
      <w:r>
        <w:rPr>
          <w:rFonts w:hint="cs"/>
          <w:rtl/>
        </w:rPr>
        <w:t>, עמ' 265-266.</w:t>
      </w:r>
      <w:proofErr w:type="gramEnd"/>
    </w:p>
  </w:footnote>
  <w:footnote w:id="28">
    <w:p w14:paraId="26197EF3" w14:textId="1C0271F5" w:rsidR="006C3B31" w:rsidRPr="00CA0556" w:rsidRDefault="006C3B31" w:rsidP="002C250A">
      <w:pPr>
        <w:pStyle w:val="FootnoteText"/>
        <w:spacing w:after="120"/>
        <w:jc w:val="both"/>
        <w:rPr>
          <w:rtl/>
        </w:rPr>
      </w:pPr>
      <w:r>
        <w:rPr>
          <w:rStyle w:val="FootnoteReference"/>
        </w:rPr>
        <w:footnoteRef/>
      </w:r>
      <w:r>
        <w:rPr>
          <w:rtl/>
        </w:rPr>
        <w:t xml:space="preserve"> </w:t>
      </w:r>
      <w:proofErr w:type="gramStart"/>
      <w:r>
        <w:t xml:space="preserve">Canadian Competition Bureau, </w:t>
      </w:r>
      <w:r>
        <w:rPr>
          <w:b/>
          <w:bCs/>
        </w:rPr>
        <w:t>Competitor Collaboration Guidelines</w:t>
      </w:r>
      <w:r>
        <w:t xml:space="preserve"> (2009)</w:t>
      </w:r>
      <w:r>
        <w:rPr>
          <w:rFonts w:hint="cs"/>
          <w:rtl/>
        </w:rPr>
        <w:t>, פס' 2.5.</w:t>
      </w:r>
      <w:proofErr w:type="gramEnd"/>
      <w:r>
        <w:rPr>
          <w:rFonts w:hint="cs"/>
          <w:rtl/>
        </w:rPr>
        <w:t xml:space="preserve"> </w:t>
      </w:r>
    </w:p>
  </w:footnote>
  <w:footnote w:id="29">
    <w:p w14:paraId="1FDF67FB" w14:textId="58A4C3AD" w:rsidR="006C3B31" w:rsidRPr="006C5ABF" w:rsidRDefault="006C3B31" w:rsidP="00BD62B3">
      <w:pPr>
        <w:pStyle w:val="FootnoteText"/>
        <w:spacing w:after="120"/>
        <w:jc w:val="both"/>
        <w:rPr>
          <w:rtl/>
        </w:rPr>
      </w:pPr>
      <w:r>
        <w:rPr>
          <w:rStyle w:val="FootnoteReference"/>
        </w:rPr>
        <w:footnoteRef/>
      </w:r>
      <w:r>
        <w:rPr>
          <w:rtl/>
        </w:rPr>
        <w:t xml:space="preserve"> </w:t>
      </w:r>
      <w:proofErr w:type="gramStart"/>
      <w:r>
        <w:t xml:space="preserve">U.S. Dept. of Justice, Antitrust Division, and Federal Trade Commission, </w:t>
      </w:r>
      <w:r>
        <w:rPr>
          <w:b/>
          <w:bCs/>
        </w:rPr>
        <w:t>Antitrust Guidelines for Collaborations among Competitors</w:t>
      </w:r>
      <w:r>
        <w:t xml:space="preserve"> (2000)</w:t>
      </w:r>
      <w:r>
        <w:rPr>
          <w:rFonts w:hint="cs"/>
          <w:rtl/>
        </w:rPr>
        <w:t>, עמ' 8.</w:t>
      </w:r>
      <w:proofErr w:type="gramEnd"/>
      <w:r>
        <w:rPr>
          <w:rFonts w:hint="cs"/>
          <w:rtl/>
        </w:rPr>
        <w:t xml:space="preserve">  </w:t>
      </w:r>
    </w:p>
  </w:footnote>
  <w:footnote w:id="30">
    <w:p w14:paraId="5A7B20F8" w14:textId="42E632DE" w:rsidR="006C3B31" w:rsidRDefault="006C3B31" w:rsidP="00BD62B3">
      <w:pPr>
        <w:pStyle w:val="FootnoteText"/>
        <w:spacing w:after="120"/>
        <w:jc w:val="both"/>
        <w:rPr>
          <w:rtl/>
        </w:rPr>
      </w:pPr>
      <w:r>
        <w:rPr>
          <w:rStyle w:val="FootnoteReference"/>
        </w:rPr>
        <w:footnoteRef/>
      </w:r>
      <w:r>
        <w:rPr>
          <w:rtl/>
        </w:rPr>
        <w:t xml:space="preserve"> </w:t>
      </w:r>
      <w:proofErr w:type="spellStart"/>
      <w:r>
        <w:rPr>
          <w:rFonts w:hint="cs"/>
          <w:rtl/>
        </w:rPr>
        <w:t>ה"ש</w:t>
      </w:r>
      <w:proofErr w:type="spellEnd"/>
      <w:r>
        <w:rPr>
          <w:rFonts w:hint="cs"/>
          <w:rtl/>
        </w:rPr>
        <w:t xml:space="preserve"> </w:t>
      </w:r>
      <w:r>
        <w:fldChar w:fldCharType="begin"/>
      </w:r>
      <w:r>
        <w:instrText xml:space="preserve"> </w:instrText>
      </w:r>
      <w:r>
        <w:rPr>
          <w:rFonts w:hint="cs"/>
        </w:rPr>
        <w:instrText>NOTEREF _Ref508016402 \h</w:instrText>
      </w:r>
      <w:r>
        <w:instrText xml:space="preserve">  \* MERGEFORMAT </w:instrText>
      </w:r>
      <w:r>
        <w:fldChar w:fldCharType="separate"/>
      </w:r>
      <w:r w:rsidR="003F71DF">
        <w:t>16</w:t>
      </w:r>
      <w:r>
        <w:fldChar w:fldCharType="end"/>
      </w:r>
      <w:r>
        <w:rPr>
          <w:rFonts w:hint="cs"/>
          <w:rtl/>
        </w:rPr>
        <w:t xml:space="preserve"> לעיל, עמ' 2.</w:t>
      </w:r>
    </w:p>
  </w:footnote>
  <w:footnote w:id="31">
    <w:p w14:paraId="5BC94F5B" w14:textId="7E4E3BB0" w:rsidR="00BA5124" w:rsidRPr="00BA5124" w:rsidRDefault="00BA5124" w:rsidP="00FD1DB7">
      <w:pPr>
        <w:pStyle w:val="FootnoteText"/>
        <w:spacing w:after="120"/>
      </w:pPr>
      <w:r>
        <w:rPr>
          <w:rStyle w:val="FootnoteReference"/>
        </w:rPr>
        <w:footnoteRef/>
      </w:r>
      <w:r>
        <w:rPr>
          <w:rtl/>
        </w:rPr>
        <w:t xml:space="preserve"> </w:t>
      </w:r>
      <w:r>
        <w:rPr>
          <w:rFonts w:hint="cs"/>
          <w:rtl/>
        </w:rPr>
        <w:t xml:space="preserve">החלטה לפי סעיף 14 לחוק ההגבלים העסקיים, בדבר פטור להסדר בין ג'נרל מילס ישראל בע"מ לבין נגה גלידות שותפות מוגבלת, 2018 </w:t>
      </w:r>
      <w:r>
        <w:rPr>
          <w:rFonts w:hint="cs"/>
          <w:b/>
          <w:bCs/>
          <w:rtl/>
        </w:rPr>
        <w:t>ההגבלים העסקיים</w:t>
      </w:r>
      <w:r>
        <w:rPr>
          <w:rFonts w:hint="cs"/>
          <w:rtl/>
        </w:rPr>
        <w:t xml:space="preserve"> 501548</w:t>
      </w:r>
      <w:r w:rsidR="00BC6232">
        <w:rPr>
          <w:rFonts w:hint="cs"/>
          <w:rtl/>
        </w:rPr>
        <w:t>, עמ' 4.</w:t>
      </w:r>
    </w:p>
  </w:footnote>
  <w:footnote w:id="32">
    <w:p w14:paraId="6C46B55F" w14:textId="1A43BD5D" w:rsidR="00BC6232" w:rsidRDefault="00BC6232" w:rsidP="00FD1DB7">
      <w:pPr>
        <w:pStyle w:val="FootnoteText"/>
        <w:spacing w:after="120"/>
      </w:pPr>
      <w:r>
        <w:rPr>
          <w:rStyle w:val="FootnoteReference"/>
        </w:rPr>
        <w:footnoteRef/>
      </w:r>
      <w:r>
        <w:rPr>
          <w:rtl/>
        </w:rPr>
        <w:t xml:space="preserve"> </w:t>
      </w:r>
      <w:proofErr w:type="spellStart"/>
      <w:r>
        <w:rPr>
          <w:rFonts w:hint="cs"/>
          <w:rtl/>
        </w:rPr>
        <w:t>ה"ש</w:t>
      </w:r>
      <w:proofErr w:type="spellEnd"/>
      <w:r>
        <w:rPr>
          <w:rFonts w:hint="cs"/>
          <w:rtl/>
        </w:rPr>
        <w:t xml:space="preserve"> </w:t>
      </w:r>
      <w:r>
        <w:fldChar w:fldCharType="begin"/>
      </w:r>
      <w:r>
        <w:instrText xml:space="preserve"> </w:instrText>
      </w:r>
      <w:r>
        <w:rPr>
          <w:rFonts w:hint="cs"/>
        </w:rPr>
        <w:instrText>NOTEREF _Ref527999474 \h</w:instrText>
      </w:r>
      <w:r>
        <w:instrText xml:space="preserve"> </w:instrText>
      </w:r>
      <w:r>
        <w:fldChar w:fldCharType="separate"/>
      </w:r>
      <w:r w:rsidR="003F71DF">
        <w:t>18</w:t>
      </w:r>
      <w:r>
        <w:fldChar w:fldCharType="end"/>
      </w:r>
      <w:r>
        <w:rPr>
          <w:rFonts w:hint="cs"/>
          <w:rtl/>
        </w:rPr>
        <w:t xml:space="preserve"> לעיל, עמ' 2.</w:t>
      </w:r>
    </w:p>
  </w:footnote>
  <w:footnote w:id="33">
    <w:p w14:paraId="13EB37C5" w14:textId="0BE54111" w:rsidR="006C3B31" w:rsidRDefault="006C3B31" w:rsidP="00BD62B3">
      <w:pPr>
        <w:pStyle w:val="FootnoteText"/>
        <w:spacing w:after="120"/>
        <w:jc w:val="both"/>
        <w:rPr>
          <w:rtl/>
        </w:rPr>
      </w:pPr>
      <w:r>
        <w:rPr>
          <w:rStyle w:val="FootnoteReference"/>
        </w:rPr>
        <w:footnoteRef/>
      </w:r>
      <w:r>
        <w:rPr>
          <w:rtl/>
        </w:rPr>
        <w:t xml:space="preserve"> </w:t>
      </w:r>
      <w:proofErr w:type="spellStart"/>
      <w:r>
        <w:rPr>
          <w:rFonts w:hint="cs"/>
          <w:rtl/>
        </w:rPr>
        <w:t>ה"ש</w:t>
      </w:r>
      <w:proofErr w:type="spellEnd"/>
      <w:r>
        <w:rPr>
          <w:rFonts w:hint="cs"/>
          <w:rtl/>
        </w:rPr>
        <w:t xml:space="preserve"> </w:t>
      </w:r>
      <w:r>
        <w:fldChar w:fldCharType="begin"/>
      </w:r>
      <w:r>
        <w:instrText xml:space="preserve"> </w:instrText>
      </w:r>
      <w:r>
        <w:rPr>
          <w:rFonts w:hint="cs"/>
        </w:rPr>
        <w:instrText>NOTEREF _Ref508016668 \h</w:instrText>
      </w:r>
      <w:r>
        <w:instrText xml:space="preserve">  \* MERGEFORMAT </w:instrText>
      </w:r>
      <w:r>
        <w:fldChar w:fldCharType="separate"/>
      </w:r>
      <w:r w:rsidR="003F71DF">
        <w:t>26</w:t>
      </w:r>
      <w:r>
        <w:fldChar w:fldCharType="end"/>
      </w:r>
      <w:r>
        <w:rPr>
          <w:rFonts w:hint="cs"/>
          <w:rtl/>
        </w:rPr>
        <w:t xml:space="preserve"> לעיל, עמ' 1395.</w:t>
      </w:r>
    </w:p>
  </w:footnote>
  <w:footnote w:id="34">
    <w:p w14:paraId="61244AE1" w14:textId="25310766" w:rsidR="006C3B31" w:rsidRPr="00861267" w:rsidRDefault="006C3B31" w:rsidP="00BD62B3">
      <w:pPr>
        <w:pStyle w:val="FootnoteText"/>
        <w:spacing w:after="120"/>
        <w:jc w:val="both"/>
        <w:rPr>
          <w:rtl/>
        </w:rPr>
      </w:pPr>
      <w:r>
        <w:rPr>
          <w:rStyle w:val="FootnoteReference"/>
        </w:rPr>
        <w:footnoteRef/>
      </w:r>
      <w:r>
        <w:rPr>
          <w:rtl/>
        </w:rPr>
        <w:t xml:space="preserve"> </w:t>
      </w:r>
      <w:r>
        <w:rPr>
          <w:b/>
          <w:bCs/>
        </w:rPr>
        <w:t xml:space="preserve">U.S. v. </w:t>
      </w:r>
      <w:proofErr w:type="spellStart"/>
      <w:r>
        <w:rPr>
          <w:b/>
          <w:bCs/>
        </w:rPr>
        <w:t>Addyston</w:t>
      </w:r>
      <w:proofErr w:type="spellEnd"/>
      <w:r>
        <w:rPr>
          <w:b/>
          <w:bCs/>
        </w:rPr>
        <w:t xml:space="preserve"> Pipe &amp; Steel</w:t>
      </w:r>
      <w:r>
        <w:t>, 85 F. 271 (6</w:t>
      </w:r>
      <w:r w:rsidRPr="00057443">
        <w:rPr>
          <w:vertAlign w:val="superscript"/>
        </w:rPr>
        <w:t>th</w:t>
      </w:r>
      <w:r>
        <w:t xml:space="preserve"> Cir. 1898), aff'd as modified 175 U.S. 211 (1899)</w:t>
      </w:r>
      <w:r>
        <w:rPr>
          <w:rFonts w:hint="cs"/>
          <w:rtl/>
        </w:rPr>
        <w:t>, בעמ' 280.</w:t>
      </w:r>
    </w:p>
  </w:footnote>
  <w:footnote w:id="35">
    <w:p w14:paraId="37093508" w14:textId="4CF222B7" w:rsidR="000C7C0A" w:rsidRDefault="000C7C0A" w:rsidP="000C7C0A">
      <w:pPr>
        <w:pStyle w:val="FootnoteText"/>
        <w:spacing w:after="120"/>
        <w:jc w:val="both"/>
        <w:rPr>
          <w:rtl/>
        </w:rPr>
      </w:pPr>
      <w:r>
        <w:rPr>
          <w:rStyle w:val="FootnoteReference"/>
        </w:rPr>
        <w:footnoteRef/>
      </w:r>
      <w:r>
        <w:rPr>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Ref513045779 \h</w:instrText>
      </w:r>
      <w:r>
        <w:rPr>
          <w:rtl/>
        </w:rPr>
        <w:instrText xml:space="preserve"> </w:instrText>
      </w:r>
      <w:r>
        <w:rPr>
          <w:rtl/>
        </w:rPr>
      </w:r>
      <w:r>
        <w:rPr>
          <w:rtl/>
        </w:rPr>
        <w:fldChar w:fldCharType="separate"/>
      </w:r>
      <w:r w:rsidR="003F71DF">
        <w:rPr>
          <w:rtl/>
        </w:rPr>
        <w:t>9</w:t>
      </w:r>
      <w:r>
        <w:rPr>
          <w:rtl/>
        </w:rPr>
        <w:fldChar w:fldCharType="end"/>
      </w:r>
      <w:r>
        <w:rPr>
          <w:rFonts w:hint="cs"/>
          <w:rtl/>
        </w:rPr>
        <w:t xml:space="preserve"> לעיל, עמ' 3-4.</w:t>
      </w:r>
    </w:p>
  </w:footnote>
  <w:footnote w:id="36">
    <w:p w14:paraId="72811770" w14:textId="7EB13752" w:rsidR="006C3B31" w:rsidRPr="00057443" w:rsidRDefault="006C3B31" w:rsidP="00BD62B3">
      <w:pPr>
        <w:pStyle w:val="FootnoteText"/>
        <w:spacing w:after="120"/>
        <w:jc w:val="both"/>
        <w:rPr>
          <w:b/>
          <w:bCs/>
          <w:rtl/>
        </w:rPr>
      </w:pPr>
      <w:r>
        <w:rPr>
          <w:rStyle w:val="FootnoteReference"/>
        </w:rPr>
        <w:footnoteRef/>
      </w:r>
      <w:r>
        <w:rPr>
          <w:rtl/>
        </w:rPr>
        <w:t xml:space="preserve"> </w:t>
      </w:r>
      <w:r>
        <w:rPr>
          <w:rFonts w:hint="cs"/>
          <w:rtl/>
        </w:rPr>
        <w:t xml:space="preserve">ראו פס"ד </w:t>
      </w:r>
      <w:r>
        <w:rPr>
          <w:b/>
          <w:bCs/>
        </w:rPr>
        <w:t>Polk Bros.</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Ref508202139 \h</w:instrText>
      </w:r>
      <w:r>
        <w:rPr>
          <w:rtl/>
        </w:rPr>
        <w:instrText xml:space="preserve">  \* </w:instrText>
      </w:r>
      <w:r>
        <w:instrText>MERGEFORMAT</w:instrText>
      </w:r>
      <w:r>
        <w:rPr>
          <w:rtl/>
        </w:rPr>
        <w:instrText xml:space="preserve"> </w:instrText>
      </w:r>
      <w:r>
        <w:rPr>
          <w:rtl/>
        </w:rPr>
      </w:r>
      <w:r>
        <w:rPr>
          <w:rtl/>
        </w:rPr>
        <w:fldChar w:fldCharType="separate"/>
      </w:r>
      <w:r w:rsidR="003F71DF">
        <w:rPr>
          <w:rtl/>
        </w:rPr>
        <w:t>20</w:t>
      </w:r>
      <w:r>
        <w:rPr>
          <w:rtl/>
        </w:rPr>
        <w:fldChar w:fldCharType="end"/>
      </w:r>
      <w:r>
        <w:rPr>
          <w:rFonts w:hint="cs"/>
          <w:rtl/>
        </w:rPr>
        <w:t xml:space="preserve"> לעיל, בעמ' 189: </w:t>
      </w:r>
      <w:r>
        <w:rPr>
          <w:rFonts w:hint="cs"/>
          <w:b/>
          <w:bCs/>
          <w:rtl/>
        </w:rPr>
        <w:t>"</w:t>
      </w:r>
      <w:r>
        <w:rPr>
          <w:b/>
          <w:bCs/>
        </w:rPr>
        <w:t>If two peo</w:t>
      </w:r>
      <w:r w:rsidR="00034715">
        <w:rPr>
          <w:b/>
          <w:bCs/>
        </w:rPr>
        <w:t>p</w:t>
      </w:r>
      <w:r>
        <w:rPr>
          <w:b/>
          <w:bCs/>
        </w:rPr>
        <w:t>le meet one day and decide not to compete, the restraint is naked; it does nothing but suppress competition</w:t>
      </w:r>
      <w:r>
        <w:rPr>
          <w:rFonts w:hint="cs"/>
          <w:b/>
          <w:bCs/>
          <w:rtl/>
        </w:rPr>
        <w:t>."</w:t>
      </w:r>
    </w:p>
  </w:footnote>
  <w:footnote w:id="37">
    <w:p w14:paraId="60354EFF" w14:textId="09628228" w:rsidR="006C3B31" w:rsidRPr="001412F7" w:rsidRDefault="006C3B31" w:rsidP="00BD7143">
      <w:pPr>
        <w:pStyle w:val="FootnoteText"/>
        <w:spacing w:after="120"/>
        <w:jc w:val="both"/>
        <w:rPr>
          <w:rtl/>
        </w:rPr>
      </w:pPr>
      <w:r>
        <w:rPr>
          <w:rStyle w:val="FootnoteReference"/>
        </w:rPr>
        <w:footnoteRef/>
      </w:r>
      <w:r>
        <w:rPr>
          <w:rtl/>
        </w:rPr>
        <w:t xml:space="preserve"> </w:t>
      </w:r>
      <w:r>
        <w:rPr>
          <w:rFonts w:hint="cs"/>
          <w:rtl/>
        </w:rPr>
        <w:t xml:space="preserve">לדוגמה,  </w:t>
      </w:r>
      <w:proofErr w:type="spellStart"/>
      <w:r>
        <w:rPr>
          <w:rFonts w:hint="cs"/>
          <w:rtl/>
        </w:rPr>
        <w:t>ה"ע</w:t>
      </w:r>
      <w:proofErr w:type="spellEnd"/>
      <w:r>
        <w:rPr>
          <w:rFonts w:hint="cs"/>
          <w:rtl/>
        </w:rPr>
        <w:t xml:space="preserve"> 1393/96 </w:t>
      </w:r>
      <w:r>
        <w:rPr>
          <w:rFonts w:hint="cs"/>
          <w:b/>
          <w:bCs/>
          <w:rtl/>
        </w:rPr>
        <w:t>בנק אדנים נ' המועצה הישראלית לצרכנות</w:t>
      </w:r>
      <w:r>
        <w:rPr>
          <w:rFonts w:hint="cs"/>
          <w:rtl/>
        </w:rPr>
        <w:t xml:space="preserve"> (נבו, 27.1.97), פס' 22.2, 29.6;</w:t>
      </w:r>
      <w:r w:rsidR="00BD7143">
        <w:rPr>
          <w:rFonts w:hint="cs"/>
          <w:rtl/>
        </w:rPr>
        <w:t xml:space="preserve"> החלטה לפי סעיף 14 לחוק ההגבלים העסקיים בדבר אי מתן פטור להסדר בין </w:t>
      </w:r>
      <w:proofErr w:type="spellStart"/>
      <w:r w:rsidR="00BD7143">
        <w:t>Publicis</w:t>
      </w:r>
      <w:proofErr w:type="spellEnd"/>
      <w:r w:rsidR="00BD7143">
        <w:t xml:space="preserve"> </w:t>
      </w:r>
      <w:proofErr w:type="spellStart"/>
      <w:r w:rsidR="00BD7143">
        <w:t>Groupe</w:t>
      </w:r>
      <w:proofErr w:type="spellEnd"/>
      <w:r w:rsidR="00BD7143">
        <w:t xml:space="preserve"> Holdings BVP</w:t>
      </w:r>
      <w:r>
        <w:rPr>
          <w:rFonts w:hint="cs"/>
          <w:rtl/>
        </w:rPr>
        <w:t xml:space="preserve"> </w:t>
      </w:r>
      <w:r w:rsidR="00BD7143">
        <w:rPr>
          <w:rFonts w:hint="cs"/>
          <w:rtl/>
        </w:rPr>
        <w:t xml:space="preserve">ומדיה </w:t>
      </w:r>
      <w:proofErr w:type="spellStart"/>
      <w:r w:rsidR="00BD7143">
        <w:rPr>
          <w:rFonts w:hint="cs"/>
          <w:rtl/>
        </w:rPr>
        <w:t>קומיוניקיישנס</w:t>
      </w:r>
      <w:proofErr w:type="spellEnd"/>
      <w:r w:rsidR="00BD7143">
        <w:rPr>
          <w:rFonts w:hint="cs"/>
          <w:rtl/>
        </w:rPr>
        <w:t xml:space="preserve"> לינקס בע"מ, 2018 </w:t>
      </w:r>
      <w:r w:rsidR="00BD7143">
        <w:rPr>
          <w:rFonts w:hint="cs"/>
          <w:b/>
          <w:bCs/>
          <w:rtl/>
        </w:rPr>
        <w:t>ההגבלים העסקיים</w:t>
      </w:r>
      <w:r w:rsidR="00BD7143">
        <w:rPr>
          <w:rFonts w:hint="cs"/>
          <w:rtl/>
        </w:rPr>
        <w:t xml:space="preserve"> 501506;</w:t>
      </w:r>
      <w:r>
        <w:rPr>
          <w:b/>
          <w:bCs/>
        </w:rPr>
        <w:t>National Society of Professional Engineers v. U.S.</w:t>
      </w:r>
      <w:r>
        <w:t>, 435 U.S. 679 (1978)</w:t>
      </w:r>
      <w:proofErr w:type="gramStart"/>
      <w:r>
        <w:rPr>
          <w:rFonts w:hint="cs"/>
          <w:rtl/>
        </w:rPr>
        <w:t xml:space="preserve">;  </w:t>
      </w:r>
      <w:r>
        <w:rPr>
          <w:b/>
          <w:bCs/>
        </w:rPr>
        <w:t>FTC</w:t>
      </w:r>
      <w:proofErr w:type="gramEnd"/>
      <w:r>
        <w:rPr>
          <w:b/>
          <w:bCs/>
        </w:rPr>
        <w:t xml:space="preserve"> v. Superior Court Trial Lawyers Association</w:t>
      </w:r>
      <w:r>
        <w:t>, 493 U.S. 411 (1990)</w:t>
      </w:r>
      <w:r>
        <w:rPr>
          <w:rFonts w:hint="cs"/>
          <w:rtl/>
        </w:rPr>
        <w:t xml:space="preserve">; </w:t>
      </w:r>
      <w:r>
        <w:rPr>
          <w:b/>
          <w:bCs/>
        </w:rPr>
        <w:t>Catalano v. Target Sales</w:t>
      </w:r>
      <w:r>
        <w:t>, 446 U.S. 643 (1980)</w:t>
      </w:r>
      <w:r>
        <w:rPr>
          <w:rFonts w:hint="cs"/>
          <w:rtl/>
        </w:rPr>
        <w:t xml:space="preserve">. כן ראו באופן כללי </w:t>
      </w:r>
      <w:proofErr w:type="spellStart"/>
      <w:r w:rsidR="002B7963">
        <w:t>Areeda</w:t>
      </w:r>
      <w:proofErr w:type="spellEnd"/>
      <w:r w:rsidR="002B7963">
        <w:t xml:space="preserve"> &amp; </w:t>
      </w:r>
      <w:proofErr w:type="spellStart"/>
      <w:r>
        <w:t>Hovenkamp</w:t>
      </w:r>
      <w:proofErr w:type="spellEnd"/>
      <w:r>
        <w:rPr>
          <w:rFonts w:hint="cs"/>
          <w:rtl/>
        </w:rPr>
        <w:t xml:space="preserve">, </w:t>
      </w:r>
      <w:proofErr w:type="spellStart"/>
      <w:r>
        <w:rPr>
          <w:rFonts w:hint="cs"/>
          <w:rtl/>
        </w:rPr>
        <w:t>ה"ש</w:t>
      </w:r>
      <w:proofErr w:type="spellEnd"/>
      <w:r>
        <w:rPr>
          <w:rFonts w:hint="cs"/>
          <w:rtl/>
        </w:rPr>
        <w:t xml:space="preserve"> </w:t>
      </w:r>
      <w:r w:rsidR="00C81417">
        <w:rPr>
          <w:rtl/>
        </w:rPr>
        <w:fldChar w:fldCharType="begin"/>
      </w:r>
      <w:r w:rsidR="00C81417">
        <w:rPr>
          <w:rtl/>
        </w:rPr>
        <w:instrText xml:space="preserve"> </w:instrText>
      </w:r>
      <w:r w:rsidR="00C81417">
        <w:rPr>
          <w:rFonts w:hint="cs"/>
        </w:rPr>
        <w:instrText>NOTEREF</w:instrText>
      </w:r>
      <w:r w:rsidR="00C81417">
        <w:rPr>
          <w:rFonts w:hint="cs"/>
          <w:rtl/>
        </w:rPr>
        <w:instrText xml:space="preserve"> _</w:instrText>
      </w:r>
      <w:r w:rsidR="00C81417">
        <w:rPr>
          <w:rFonts w:hint="cs"/>
        </w:rPr>
        <w:instrText>Ref511663549 \h</w:instrText>
      </w:r>
      <w:r w:rsidR="00C81417">
        <w:rPr>
          <w:rtl/>
        </w:rPr>
        <w:instrText xml:space="preserve"> </w:instrText>
      </w:r>
      <w:r w:rsidR="00C81417">
        <w:rPr>
          <w:rtl/>
        </w:rPr>
      </w:r>
      <w:r w:rsidR="00C81417">
        <w:rPr>
          <w:rtl/>
        </w:rPr>
        <w:fldChar w:fldCharType="separate"/>
      </w:r>
      <w:r w:rsidR="003F71DF">
        <w:rPr>
          <w:rtl/>
        </w:rPr>
        <w:t>12</w:t>
      </w:r>
      <w:r w:rsidR="00C81417">
        <w:rPr>
          <w:rtl/>
        </w:rPr>
        <w:fldChar w:fldCharType="end"/>
      </w:r>
      <w:r>
        <w:rPr>
          <w:rFonts w:hint="cs"/>
          <w:rtl/>
        </w:rPr>
        <w:t xml:space="preserve"> לעיל, </w:t>
      </w:r>
      <w:r>
        <w:rPr>
          <w:rFonts w:ascii="Arial" w:hAnsi="Arial" w:cs="Arial"/>
        </w:rPr>
        <w:t>¶</w:t>
      </w:r>
      <w:r>
        <w:t>1907b</w:t>
      </w:r>
      <w:r>
        <w:rPr>
          <w:rFonts w:hint="cs"/>
          <w:rtl/>
        </w:rPr>
        <w:t>.</w:t>
      </w:r>
    </w:p>
  </w:footnote>
  <w:footnote w:id="38">
    <w:p w14:paraId="4D2D5333" w14:textId="19E5FAB7" w:rsidR="006C3B31" w:rsidRPr="00177222" w:rsidRDefault="006C3B31" w:rsidP="00BD62B3">
      <w:pPr>
        <w:pStyle w:val="FootnoteText"/>
        <w:spacing w:after="120"/>
        <w:jc w:val="both"/>
        <w:rPr>
          <w:rtl/>
        </w:rPr>
      </w:pPr>
      <w:r>
        <w:rPr>
          <w:rStyle w:val="FootnoteReference"/>
        </w:rPr>
        <w:footnoteRef/>
      </w:r>
      <w:r>
        <w:rPr>
          <w:rtl/>
        </w:rPr>
        <w:t xml:space="preserve"> </w:t>
      </w:r>
      <w:r>
        <w:rPr>
          <w:rFonts w:hint="cs"/>
          <w:rtl/>
        </w:rPr>
        <w:t xml:space="preserve">ע"פ 2560/08 </w:t>
      </w:r>
      <w:r>
        <w:rPr>
          <w:rFonts w:hint="cs"/>
          <w:b/>
          <w:bCs/>
          <w:rtl/>
        </w:rPr>
        <w:t>מ.י. נ' וול</w:t>
      </w:r>
      <w:r>
        <w:rPr>
          <w:rFonts w:hint="cs"/>
          <w:rtl/>
        </w:rPr>
        <w:t xml:space="preserve"> (נבו, 6.7.09) פס' </w:t>
      </w:r>
      <w:proofErr w:type="spellStart"/>
      <w:r>
        <w:rPr>
          <w:rFonts w:hint="cs"/>
          <w:rtl/>
        </w:rPr>
        <w:t>רי</w:t>
      </w:r>
      <w:proofErr w:type="spellEnd"/>
      <w:r>
        <w:rPr>
          <w:rFonts w:hint="cs"/>
          <w:rtl/>
        </w:rPr>
        <w:t>.</w:t>
      </w:r>
    </w:p>
  </w:footnote>
  <w:footnote w:id="39">
    <w:p w14:paraId="07AB8EA0" w14:textId="7E9004BE" w:rsidR="006C3B31" w:rsidRPr="00CE0F5D" w:rsidRDefault="006C3B31" w:rsidP="00F351AD">
      <w:pPr>
        <w:pStyle w:val="FootnoteText"/>
        <w:spacing w:after="120"/>
      </w:pPr>
      <w:r>
        <w:rPr>
          <w:rStyle w:val="FootnoteReference"/>
        </w:rPr>
        <w:footnoteRef/>
      </w:r>
      <w:r>
        <w:rPr>
          <w:rtl/>
        </w:rPr>
        <w:t xml:space="preserve"> </w:t>
      </w:r>
      <w:r>
        <w:rPr>
          <w:rFonts w:hint="cs"/>
          <w:rtl/>
        </w:rPr>
        <w:t xml:space="preserve">ע"פ 1656/16 </w:t>
      </w:r>
      <w:r>
        <w:rPr>
          <w:rFonts w:hint="cs"/>
          <w:b/>
          <w:bCs/>
          <w:rtl/>
        </w:rPr>
        <w:t>מ.י. נ' דוידוביץ'</w:t>
      </w:r>
      <w:r>
        <w:rPr>
          <w:rFonts w:hint="cs"/>
          <w:rtl/>
        </w:rPr>
        <w:t xml:space="preserve"> (נבו, 20.3.17), פס' 96. </w:t>
      </w:r>
    </w:p>
  </w:footnote>
  <w:footnote w:id="40">
    <w:p w14:paraId="336269EC" w14:textId="10BE84BF" w:rsidR="006C3B31" w:rsidRPr="006B67D9" w:rsidRDefault="006C3B31" w:rsidP="00F351AD">
      <w:pPr>
        <w:pStyle w:val="FootnoteText"/>
        <w:spacing w:after="120"/>
        <w:rPr>
          <w:rtl/>
        </w:rPr>
      </w:pPr>
      <w:r>
        <w:rPr>
          <w:rStyle w:val="FootnoteReference"/>
        </w:rPr>
        <w:footnoteRef/>
      </w:r>
      <w:r>
        <w:rPr>
          <w:rtl/>
        </w:rPr>
        <w:t xml:space="preserve"> </w:t>
      </w:r>
      <w:r>
        <w:rPr>
          <w:rFonts w:hint="cs"/>
          <w:rtl/>
        </w:rPr>
        <w:t xml:space="preserve">ת"פ 201/96 </w:t>
      </w:r>
      <w:r>
        <w:rPr>
          <w:rFonts w:hint="cs"/>
          <w:b/>
          <w:bCs/>
          <w:rtl/>
        </w:rPr>
        <w:t>מ.י. נ' מגדל חברה לביטוח</w:t>
      </w:r>
      <w:r>
        <w:rPr>
          <w:rFonts w:hint="cs"/>
          <w:rtl/>
        </w:rPr>
        <w:t xml:space="preserve"> (נבו, 14.3.97), פס' 15.</w:t>
      </w:r>
    </w:p>
  </w:footnote>
  <w:footnote w:id="41">
    <w:p w14:paraId="2C9DCCE4" w14:textId="0B3CB87B" w:rsidR="006C3B31" w:rsidRPr="00FB4A61" w:rsidRDefault="006C3B31" w:rsidP="00BD62B3">
      <w:pPr>
        <w:pStyle w:val="FootnoteText"/>
        <w:spacing w:after="120"/>
        <w:jc w:val="both"/>
        <w:rPr>
          <w:b/>
          <w:bCs/>
          <w:rtl/>
        </w:rPr>
      </w:pPr>
      <w:r>
        <w:rPr>
          <w:rStyle w:val="FootnoteReference"/>
        </w:rPr>
        <w:footnoteRef/>
      </w:r>
      <w:r>
        <w:rPr>
          <w:rtl/>
        </w:rPr>
        <w:t xml:space="preserve"> </w:t>
      </w:r>
      <w:proofErr w:type="gramStart"/>
      <w:r>
        <w:t xml:space="preserve">Case C-209/07 </w:t>
      </w:r>
      <w:r>
        <w:rPr>
          <w:b/>
          <w:bCs/>
        </w:rPr>
        <w:t xml:space="preserve">Competition Authority v. Beef Industry Development Society Ltd. </w:t>
      </w:r>
      <w:r>
        <w:t>[2008] ECR I-8637</w:t>
      </w:r>
      <w:r>
        <w:rPr>
          <w:rFonts w:hint="cs"/>
          <w:b/>
          <w:bCs/>
          <w:rtl/>
        </w:rPr>
        <w:t>.</w:t>
      </w:r>
      <w:proofErr w:type="gramEnd"/>
      <w:r>
        <w:rPr>
          <w:rFonts w:hint="cs"/>
          <w:b/>
          <w:bCs/>
          <w:rtl/>
        </w:rPr>
        <w:t xml:space="preserve"> </w:t>
      </w:r>
    </w:p>
  </w:footnote>
  <w:footnote w:id="42">
    <w:p w14:paraId="3CCA1CC5" w14:textId="77777777" w:rsidR="006C3B31" w:rsidRPr="00BC11E2" w:rsidRDefault="006C3B31" w:rsidP="00BD62B3">
      <w:pPr>
        <w:pStyle w:val="FootnoteText"/>
        <w:spacing w:after="120"/>
        <w:jc w:val="both"/>
        <w:rPr>
          <w:rtl/>
        </w:rPr>
      </w:pPr>
      <w:r>
        <w:rPr>
          <w:rStyle w:val="FootnoteReference"/>
        </w:rPr>
        <w:footnoteRef/>
      </w:r>
      <w:r>
        <w:rPr>
          <w:rtl/>
        </w:rPr>
        <w:t xml:space="preserve"> </w:t>
      </w:r>
      <w:proofErr w:type="gramStart"/>
      <w:r>
        <w:rPr>
          <w:b/>
          <w:bCs/>
        </w:rPr>
        <w:t xml:space="preserve">U.S. v. </w:t>
      </w:r>
      <w:proofErr w:type="spellStart"/>
      <w:r>
        <w:rPr>
          <w:b/>
          <w:bCs/>
        </w:rPr>
        <w:t>Socony</w:t>
      </w:r>
      <w:proofErr w:type="spellEnd"/>
      <w:r>
        <w:rPr>
          <w:b/>
          <w:bCs/>
        </w:rPr>
        <w:t>-Vacuum Oil Co.</w:t>
      </w:r>
      <w:r>
        <w:t>, 310 U.S. 150 (1940)</w:t>
      </w:r>
      <w:r>
        <w:rPr>
          <w:rFonts w:hint="cs"/>
          <w:rtl/>
        </w:rPr>
        <w:t>, בעמ' 221.</w:t>
      </w:r>
      <w:proofErr w:type="gramEnd"/>
    </w:p>
  </w:footnote>
  <w:footnote w:id="43">
    <w:p w14:paraId="0B3F8E88" w14:textId="4C2BAAB1" w:rsidR="006C3B31" w:rsidRPr="00731C0D" w:rsidRDefault="006C3B31" w:rsidP="00BD62B3">
      <w:pPr>
        <w:pStyle w:val="FootnoteText"/>
        <w:spacing w:after="120"/>
        <w:jc w:val="both"/>
        <w:rPr>
          <w:rtl/>
        </w:rPr>
      </w:pPr>
      <w:r>
        <w:rPr>
          <w:rStyle w:val="FootnoteReference"/>
        </w:rPr>
        <w:footnoteRef/>
      </w:r>
      <w:r>
        <w:rPr>
          <w:rtl/>
        </w:rPr>
        <w:t xml:space="preserve"> </w:t>
      </w:r>
      <w:r>
        <w:rPr>
          <w:rFonts w:hint="cs"/>
          <w:rtl/>
        </w:rPr>
        <w:t xml:space="preserve">פס"ד </w:t>
      </w:r>
      <w:r>
        <w:rPr>
          <w:rFonts w:hint="cs"/>
          <w:b/>
          <w:bCs/>
          <w:rtl/>
        </w:rPr>
        <w:t>ארד</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Ref508210373 \h</w:instrText>
      </w:r>
      <w:r>
        <w:rPr>
          <w:rtl/>
        </w:rPr>
        <w:instrText xml:space="preserve"> </w:instrText>
      </w:r>
      <w:r>
        <w:rPr>
          <w:rtl/>
        </w:rPr>
      </w:r>
      <w:r>
        <w:rPr>
          <w:rtl/>
        </w:rPr>
        <w:fldChar w:fldCharType="separate"/>
      </w:r>
      <w:r w:rsidR="003F71DF">
        <w:rPr>
          <w:rtl/>
        </w:rPr>
        <w:t>11</w:t>
      </w:r>
      <w:r>
        <w:rPr>
          <w:rtl/>
        </w:rPr>
        <w:fldChar w:fldCharType="end"/>
      </w:r>
      <w:r>
        <w:rPr>
          <w:rFonts w:hint="cs"/>
          <w:rtl/>
        </w:rPr>
        <w:t xml:space="preserve"> לעיל, פס' 30. </w:t>
      </w:r>
    </w:p>
  </w:footnote>
  <w:footnote w:id="44">
    <w:p w14:paraId="73FFB455" w14:textId="77777777" w:rsidR="006C3B31" w:rsidRPr="00D92666" w:rsidRDefault="006C3B31" w:rsidP="00BD62B3">
      <w:pPr>
        <w:pStyle w:val="FootnoteText"/>
        <w:spacing w:after="120"/>
        <w:jc w:val="both"/>
      </w:pPr>
      <w:r>
        <w:rPr>
          <w:rStyle w:val="FootnoteReference"/>
        </w:rPr>
        <w:footnoteRef/>
      </w:r>
      <w:r>
        <w:rPr>
          <w:rtl/>
        </w:rPr>
        <w:t xml:space="preserve"> </w:t>
      </w:r>
      <w:proofErr w:type="spellStart"/>
      <w:r>
        <w:rPr>
          <w:rFonts w:hint="cs"/>
          <w:rtl/>
        </w:rPr>
        <w:t>ה"ע</w:t>
      </w:r>
      <w:proofErr w:type="spellEnd"/>
      <w:r>
        <w:rPr>
          <w:rFonts w:hint="cs"/>
          <w:rtl/>
        </w:rPr>
        <w:t xml:space="preserve"> 491/98 </w:t>
      </w:r>
      <w:r>
        <w:rPr>
          <w:rFonts w:hint="cs"/>
          <w:b/>
          <w:bCs/>
          <w:rtl/>
        </w:rPr>
        <w:t>חברת החשמל לישראל נ' הממונה</w:t>
      </w:r>
      <w:r>
        <w:rPr>
          <w:rFonts w:hint="cs"/>
          <w:rtl/>
        </w:rPr>
        <w:t xml:space="preserve"> (נבו, 22.3.99) פס' 47. </w:t>
      </w:r>
    </w:p>
  </w:footnote>
  <w:footnote w:id="45">
    <w:p w14:paraId="649D06F3" w14:textId="346CEE17" w:rsidR="006C3B31" w:rsidRPr="00C20ABA" w:rsidRDefault="006C3B31" w:rsidP="00BD62B3">
      <w:pPr>
        <w:pStyle w:val="FootnoteText"/>
        <w:spacing w:after="120"/>
        <w:jc w:val="both"/>
        <w:rPr>
          <w:rtl/>
        </w:rPr>
      </w:pPr>
      <w:r>
        <w:rPr>
          <w:rStyle w:val="FootnoteReference"/>
        </w:rPr>
        <w:footnoteRef/>
      </w:r>
      <w:r>
        <w:rPr>
          <w:rtl/>
        </w:rPr>
        <w:t xml:space="preserve"> </w:t>
      </w:r>
      <w:r>
        <w:rPr>
          <w:rFonts w:hint="cs"/>
          <w:rtl/>
        </w:rPr>
        <w:t xml:space="preserve">פרשת </w:t>
      </w:r>
      <w:proofErr w:type="spellStart"/>
      <w:r>
        <w:rPr>
          <w:rFonts w:hint="cs"/>
          <w:b/>
          <w:bCs/>
          <w:rtl/>
        </w:rPr>
        <w:t>איסכור</w:t>
      </w:r>
      <w:proofErr w:type="spellEnd"/>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Ref508193567 \h</w:instrText>
      </w:r>
      <w:r>
        <w:rPr>
          <w:rtl/>
        </w:rPr>
        <w:instrText xml:space="preserve">  \* </w:instrText>
      </w:r>
      <w:r>
        <w:instrText>MERGEFORMAT</w:instrText>
      </w:r>
      <w:r>
        <w:rPr>
          <w:rtl/>
        </w:rPr>
        <w:instrText xml:space="preserve"> </w:instrText>
      </w:r>
      <w:r>
        <w:rPr>
          <w:rtl/>
        </w:rPr>
      </w:r>
      <w:r>
        <w:rPr>
          <w:rtl/>
        </w:rPr>
        <w:fldChar w:fldCharType="separate"/>
      </w:r>
      <w:r w:rsidR="003F71DF">
        <w:rPr>
          <w:rtl/>
        </w:rPr>
        <w:t>10</w:t>
      </w:r>
      <w:r>
        <w:rPr>
          <w:rtl/>
        </w:rPr>
        <w:fldChar w:fldCharType="end"/>
      </w:r>
      <w:r>
        <w:rPr>
          <w:rFonts w:hint="cs"/>
          <w:rtl/>
        </w:rPr>
        <w:t xml:space="preserve"> לעיל, פס' 50. </w:t>
      </w:r>
    </w:p>
  </w:footnote>
  <w:footnote w:id="46">
    <w:p w14:paraId="4B65EB61" w14:textId="03A9FCA6" w:rsidR="00A35699" w:rsidRDefault="00A35699" w:rsidP="00FD1DB7">
      <w:pPr>
        <w:pStyle w:val="FootnoteText"/>
        <w:spacing w:after="120"/>
        <w:rPr>
          <w:rtl/>
        </w:rPr>
      </w:pPr>
      <w:r>
        <w:rPr>
          <w:rStyle w:val="FootnoteReference"/>
        </w:rPr>
        <w:footnoteRef/>
      </w:r>
      <w:r>
        <w:rPr>
          <w:rtl/>
        </w:rPr>
        <w:t xml:space="preserve"> </w:t>
      </w:r>
      <w:r>
        <w:rPr>
          <w:rFonts w:hint="cs"/>
          <w:rtl/>
        </w:rPr>
        <w:t xml:space="preserve">ראו </w:t>
      </w:r>
      <w:r>
        <w:t xml:space="preserve">Canadian Competition Act, </w:t>
      </w:r>
      <w:r>
        <w:rPr>
          <w:rFonts w:ascii="Arial" w:hAnsi="Arial" w:cs="Arial"/>
        </w:rPr>
        <w:t>§</w:t>
      </w:r>
      <w:r>
        <w:t xml:space="preserve"> 45(4)(a)(ii)</w:t>
      </w:r>
      <w:r>
        <w:rPr>
          <w:rFonts w:hint="cs"/>
          <w:rtl/>
        </w:rPr>
        <w:t xml:space="preserve">; </w:t>
      </w:r>
      <w:r>
        <w:t>Collaborations Among Competitors</w:t>
      </w:r>
      <w:r>
        <w:rPr>
          <w:rFonts w:hint="cs"/>
          <w:rtl/>
        </w:rPr>
        <w:t>,</w:t>
      </w:r>
      <w:r w:rsidR="004973EE">
        <w:rPr>
          <w:rFonts w:hint="cs"/>
          <w:rtl/>
        </w:rPr>
        <w:t xml:space="preserve"> </w:t>
      </w:r>
      <w:proofErr w:type="spellStart"/>
      <w:r w:rsidR="004973EE">
        <w:rPr>
          <w:rFonts w:hint="cs"/>
          <w:rtl/>
        </w:rPr>
        <w:t>ה"ש</w:t>
      </w:r>
      <w:proofErr w:type="spellEnd"/>
      <w:r w:rsidR="004973EE">
        <w:rPr>
          <w:rFonts w:hint="cs"/>
          <w:rtl/>
        </w:rPr>
        <w:t xml:space="preserve"> </w:t>
      </w:r>
      <w:r w:rsidR="004973EE">
        <w:rPr>
          <w:rtl/>
        </w:rPr>
        <w:fldChar w:fldCharType="begin"/>
      </w:r>
      <w:r w:rsidR="004973EE">
        <w:rPr>
          <w:rtl/>
        </w:rPr>
        <w:instrText xml:space="preserve"> </w:instrText>
      </w:r>
      <w:r w:rsidR="004973EE">
        <w:rPr>
          <w:rFonts w:hint="cs"/>
        </w:rPr>
        <w:instrText>NOTEREF</w:instrText>
      </w:r>
      <w:r w:rsidR="004973EE">
        <w:rPr>
          <w:rFonts w:hint="cs"/>
          <w:rtl/>
        </w:rPr>
        <w:instrText xml:space="preserve"> _</w:instrText>
      </w:r>
      <w:r w:rsidR="004973EE">
        <w:rPr>
          <w:rFonts w:hint="cs"/>
        </w:rPr>
        <w:instrText>Ref494374882 \h</w:instrText>
      </w:r>
      <w:r w:rsidR="004973EE">
        <w:rPr>
          <w:rtl/>
        </w:rPr>
        <w:instrText xml:space="preserve"> </w:instrText>
      </w:r>
      <w:r w:rsidR="004973EE">
        <w:rPr>
          <w:rtl/>
        </w:rPr>
      </w:r>
      <w:r w:rsidR="004973EE">
        <w:rPr>
          <w:rtl/>
        </w:rPr>
        <w:fldChar w:fldCharType="separate"/>
      </w:r>
      <w:r w:rsidR="003F71DF">
        <w:rPr>
          <w:rtl/>
        </w:rPr>
        <w:t>29</w:t>
      </w:r>
      <w:r w:rsidR="004973EE">
        <w:rPr>
          <w:rtl/>
        </w:rPr>
        <w:fldChar w:fldCharType="end"/>
      </w:r>
      <w:r w:rsidR="004973EE">
        <w:rPr>
          <w:rFonts w:hint="cs"/>
          <w:rtl/>
        </w:rPr>
        <w:t xml:space="preserve"> לעיל,</w:t>
      </w:r>
      <w:r>
        <w:rPr>
          <w:rFonts w:hint="cs"/>
          <w:rtl/>
        </w:rPr>
        <w:t xml:space="preserve"> </w:t>
      </w:r>
      <w:r w:rsidR="004973EE">
        <w:rPr>
          <w:rFonts w:hint="cs"/>
          <w:rtl/>
        </w:rPr>
        <w:t>ב</w:t>
      </w:r>
      <w:r>
        <w:rPr>
          <w:rFonts w:hint="cs"/>
          <w:rtl/>
        </w:rPr>
        <w:t>עמ' 8.</w:t>
      </w:r>
    </w:p>
  </w:footnote>
  <w:footnote w:id="47">
    <w:p w14:paraId="5482CCC1" w14:textId="7E251DD2" w:rsidR="00D624B3" w:rsidRDefault="00D624B3" w:rsidP="00FD1DB7">
      <w:pPr>
        <w:pStyle w:val="FootnoteText"/>
        <w:spacing w:after="120"/>
        <w:rPr>
          <w:rtl/>
        </w:rPr>
      </w:pPr>
      <w:r>
        <w:rPr>
          <w:rStyle w:val="FootnoteReference"/>
        </w:rPr>
        <w:footnoteRef/>
      </w:r>
      <w:r>
        <w:rPr>
          <w:rtl/>
        </w:rPr>
        <w:t xml:space="preserve"> </w:t>
      </w:r>
      <w:r>
        <w:t>Collaborations Among Competitors</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Ref494374882 \h</w:instrText>
      </w:r>
      <w:r>
        <w:rPr>
          <w:rtl/>
        </w:rPr>
        <w:instrText xml:space="preserve"> </w:instrText>
      </w:r>
      <w:r>
        <w:rPr>
          <w:rtl/>
        </w:rPr>
      </w:r>
      <w:r>
        <w:rPr>
          <w:rtl/>
        </w:rPr>
        <w:fldChar w:fldCharType="separate"/>
      </w:r>
      <w:r w:rsidR="003F71DF">
        <w:rPr>
          <w:rtl/>
        </w:rPr>
        <w:t>29</w:t>
      </w:r>
      <w:r>
        <w:rPr>
          <w:rtl/>
        </w:rPr>
        <w:fldChar w:fldCharType="end"/>
      </w:r>
      <w:r>
        <w:rPr>
          <w:rFonts w:hint="cs"/>
          <w:rtl/>
        </w:rPr>
        <w:t xml:space="preserve"> לעיל, בעמ' 9; </w:t>
      </w:r>
      <w:r>
        <w:t xml:space="preserve">Canadian Competitor Collaboration </w:t>
      </w:r>
      <w:proofErr w:type="gramStart"/>
      <w:r>
        <w:t xml:space="preserve">Guidelines </w:t>
      </w:r>
      <w:r>
        <w:rPr>
          <w:rFonts w:hint="cs"/>
          <w:rtl/>
        </w:rPr>
        <w:t>,</w:t>
      </w:r>
      <w:proofErr w:type="gramEnd"/>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Ref508212460 \h</w:instrText>
      </w:r>
      <w:r>
        <w:rPr>
          <w:rtl/>
        </w:rPr>
        <w:instrText xml:space="preserve"> </w:instrText>
      </w:r>
      <w:r>
        <w:rPr>
          <w:rtl/>
        </w:rPr>
      </w:r>
      <w:r>
        <w:rPr>
          <w:rtl/>
        </w:rPr>
        <w:fldChar w:fldCharType="separate"/>
      </w:r>
      <w:r w:rsidR="003F71DF">
        <w:rPr>
          <w:rtl/>
        </w:rPr>
        <w:t>28</w:t>
      </w:r>
      <w:r>
        <w:rPr>
          <w:rtl/>
        </w:rPr>
        <w:fldChar w:fldCharType="end"/>
      </w:r>
      <w:r>
        <w:rPr>
          <w:rFonts w:hint="cs"/>
          <w:rtl/>
        </w:rPr>
        <w:t xml:space="preserve"> לעיל, בעמ' 14-15.</w:t>
      </w:r>
    </w:p>
  </w:footnote>
  <w:footnote w:id="48">
    <w:p w14:paraId="2AEEBC42" w14:textId="4ADE7215" w:rsidR="006C3B31" w:rsidRPr="00E811A1" w:rsidRDefault="006C3B31" w:rsidP="00BD62B3">
      <w:pPr>
        <w:pStyle w:val="FootnoteText"/>
        <w:spacing w:after="120"/>
        <w:jc w:val="both"/>
        <w:rPr>
          <w:rtl/>
        </w:rPr>
      </w:pPr>
      <w:r>
        <w:rPr>
          <w:rStyle w:val="FootnoteReference"/>
        </w:rPr>
        <w:footnoteRef/>
      </w:r>
      <w:r>
        <w:rPr>
          <w:rtl/>
        </w:rPr>
        <w:t xml:space="preserve"> </w:t>
      </w:r>
      <w:r w:rsidR="00730032">
        <w:rPr>
          <w:rFonts w:hint="cs"/>
          <w:rtl/>
        </w:rPr>
        <w:t xml:space="preserve">פרשת </w:t>
      </w:r>
      <w:proofErr w:type="spellStart"/>
      <w:r w:rsidR="00730032">
        <w:rPr>
          <w:rFonts w:hint="cs"/>
          <w:b/>
          <w:bCs/>
          <w:rtl/>
        </w:rPr>
        <w:t>הולנדיה</w:t>
      </w:r>
      <w:proofErr w:type="spellEnd"/>
      <w:r w:rsidR="00730032">
        <w:rPr>
          <w:rFonts w:hint="cs"/>
          <w:rtl/>
        </w:rPr>
        <w:t xml:space="preserve">, </w:t>
      </w:r>
      <w:proofErr w:type="spellStart"/>
      <w:r w:rsidR="00730032">
        <w:rPr>
          <w:rFonts w:hint="cs"/>
          <w:rtl/>
        </w:rPr>
        <w:t>ה"ש</w:t>
      </w:r>
      <w:proofErr w:type="spellEnd"/>
      <w:r w:rsidR="00730032">
        <w:rPr>
          <w:rFonts w:hint="cs"/>
          <w:rtl/>
        </w:rPr>
        <w:t xml:space="preserve"> </w:t>
      </w:r>
      <w:r w:rsidR="00730032">
        <w:rPr>
          <w:rtl/>
        </w:rPr>
        <w:fldChar w:fldCharType="begin"/>
      </w:r>
      <w:r w:rsidR="00730032">
        <w:rPr>
          <w:rtl/>
        </w:rPr>
        <w:instrText xml:space="preserve"> </w:instrText>
      </w:r>
      <w:r w:rsidR="00730032">
        <w:rPr>
          <w:rFonts w:hint="cs"/>
        </w:rPr>
        <w:instrText>NOTEREF</w:instrText>
      </w:r>
      <w:r w:rsidR="00730032">
        <w:rPr>
          <w:rFonts w:hint="cs"/>
          <w:rtl/>
        </w:rPr>
        <w:instrText xml:space="preserve"> _</w:instrText>
      </w:r>
      <w:r w:rsidR="00730032">
        <w:rPr>
          <w:rFonts w:hint="cs"/>
        </w:rPr>
        <w:instrText>Ref508210656 \h</w:instrText>
      </w:r>
      <w:r w:rsidR="00730032">
        <w:rPr>
          <w:rtl/>
        </w:rPr>
        <w:instrText xml:space="preserve"> </w:instrText>
      </w:r>
      <w:r w:rsidR="00730032">
        <w:rPr>
          <w:rtl/>
        </w:rPr>
      </w:r>
      <w:r w:rsidR="00730032">
        <w:rPr>
          <w:rtl/>
        </w:rPr>
        <w:fldChar w:fldCharType="separate"/>
      </w:r>
      <w:r w:rsidR="003F71DF">
        <w:rPr>
          <w:rtl/>
        </w:rPr>
        <w:t>23</w:t>
      </w:r>
      <w:r w:rsidR="00730032">
        <w:rPr>
          <w:rtl/>
        </w:rPr>
        <w:fldChar w:fldCharType="end"/>
      </w:r>
      <w:r w:rsidR="00730032">
        <w:rPr>
          <w:rFonts w:hint="cs"/>
          <w:rtl/>
        </w:rPr>
        <w:t xml:space="preserve"> לעיל, פס' 36-37. </w:t>
      </w:r>
      <w:r>
        <w:rPr>
          <w:rFonts w:hint="cs"/>
          <w:rtl/>
        </w:rPr>
        <w:t xml:space="preserve">לדוגמות של יישום מבחן הנחיצות, ראו: פס"ד </w:t>
      </w:r>
      <w:r>
        <w:rPr>
          <w:rFonts w:hint="cs"/>
          <w:b/>
          <w:bCs/>
          <w:rtl/>
        </w:rPr>
        <w:t>הפדרציה</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Ref508210428 \h</w:instrText>
      </w:r>
      <w:r>
        <w:rPr>
          <w:rtl/>
        </w:rPr>
        <w:instrText xml:space="preserve"> </w:instrText>
      </w:r>
      <w:r>
        <w:rPr>
          <w:rtl/>
        </w:rPr>
      </w:r>
      <w:r>
        <w:rPr>
          <w:rtl/>
        </w:rPr>
        <w:fldChar w:fldCharType="separate"/>
      </w:r>
      <w:r w:rsidR="003F71DF">
        <w:rPr>
          <w:rtl/>
        </w:rPr>
        <w:t>19</w:t>
      </w:r>
      <w:r>
        <w:rPr>
          <w:rtl/>
        </w:rPr>
        <w:fldChar w:fldCharType="end"/>
      </w:r>
      <w:r>
        <w:rPr>
          <w:rFonts w:hint="cs"/>
          <w:rtl/>
        </w:rPr>
        <w:t xml:space="preserve"> לעיל, פס' 82; פס"ד </w:t>
      </w:r>
      <w:r>
        <w:rPr>
          <w:rFonts w:hint="cs"/>
          <w:b/>
          <w:bCs/>
          <w:rtl/>
        </w:rPr>
        <w:t>ארד</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instrText>NOTEREF</w:instrText>
      </w:r>
      <w:r>
        <w:rPr>
          <w:rtl/>
        </w:rPr>
        <w:instrText xml:space="preserve"> _</w:instrText>
      </w:r>
      <w:r>
        <w:instrText>Ref508210373 \h</w:instrText>
      </w:r>
      <w:r>
        <w:rPr>
          <w:rtl/>
        </w:rPr>
        <w:instrText xml:space="preserve"> </w:instrText>
      </w:r>
      <w:r>
        <w:rPr>
          <w:rtl/>
        </w:rPr>
      </w:r>
      <w:r>
        <w:rPr>
          <w:rtl/>
        </w:rPr>
        <w:fldChar w:fldCharType="separate"/>
      </w:r>
      <w:r w:rsidR="003F71DF">
        <w:rPr>
          <w:rtl/>
        </w:rPr>
        <w:t>11</w:t>
      </w:r>
      <w:r>
        <w:rPr>
          <w:rtl/>
        </w:rPr>
        <w:fldChar w:fldCharType="end"/>
      </w:r>
      <w:r>
        <w:rPr>
          <w:rFonts w:hint="cs"/>
          <w:rtl/>
        </w:rPr>
        <w:t xml:space="preserve"> לעיל, פס' 28-30; פס"ד </w:t>
      </w:r>
      <w:r>
        <w:rPr>
          <w:b/>
          <w:bCs/>
        </w:rPr>
        <w:t>Polk Bros.</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instrText>NOTEREF</w:instrText>
      </w:r>
      <w:r>
        <w:rPr>
          <w:rtl/>
        </w:rPr>
        <w:instrText xml:space="preserve"> _</w:instrText>
      </w:r>
      <w:r>
        <w:instrText>Ref508202139 \h</w:instrText>
      </w:r>
      <w:r>
        <w:rPr>
          <w:rtl/>
        </w:rPr>
        <w:instrText xml:space="preserve"> </w:instrText>
      </w:r>
      <w:r>
        <w:rPr>
          <w:rtl/>
        </w:rPr>
      </w:r>
      <w:r>
        <w:rPr>
          <w:rtl/>
        </w:rPr>
        <w:fldChar w:fldCharType="separate"/>
      </w:r>
      <w:r w:rsidR="003F71DF">
        <w:rPr>
          <w:rtl/>
        </w:rPr>
        <w:t>20</w:t>
      </w:r>
      <w:r>
        <w:rPr>
          <w:rtl/>
        </w:rPr>
        <w:fldChar w:fldCharType="end"/>
      </w:r>
      <w:r>
        <w:rPr>
          <w:rFonts w:hint="cs"/>
          <w:rtl/>
        </w:rPr>
        <w:t xml:space="preserve"> לעיל, בעמ' 190; פס"ד </w:t>
      </w:r>
      <w:proofErr w:type="spellStart"/>
      <w:r>
        <w:rPr>
          <w:b/>
          <w:bCs/>
        </w:rPr>
        <w:t>Rothery</w:t>
      </w:r>
      <w:proofErr w:type="spellEnd"/>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Ref508210538 \h</w:instrText>
      </w:r>
      <w:r>
        <w:rPr>
          <w:rtl/>
        </w:rPr>
        <w:instrText xml:space="preserve"> </w:instrText>
      </w:r>
      <w:r>
        <w:rPr>
          <w:rtl/>
        </w:rPr>
      </w:r>
      <w:r>
        <w:rPr>
          <w:rtl/>
        </w:rPr>
        <w:fldChar w:fldCharType="separate"/>
      </w:r>
      <w:r w:rsidR="003F71DF">
        <w:rPr>
          <w:rtl/>
        </w:rPr>
        <w:t>21</w:t>
      </w:r>
      <w:r>
        <w:rPr>
          <w:rtl/>
        </w:rPr>
        <w:fldChar w:fldCharType="end"/>
      </w:r>
      <w:r>
        <w:rPr>
          <w:rFonts w:hint="cs"/>
          <w:rtl/>
        </w:rPr>
        <w:t xml:space="preserve"> לעיל, עמ' 212-213, 221-222; </w:t>
      </w:r>
      <w:r>
        <w:rPr>
          <w:b/>
          <w:bCs/>
        </w:rPr>
        <w:t xml:space="preserve">General </w:t>
      </w:r>
      <w:proofErr w:type="spellStart"/>
      <w:r>
        <w:rPr>
          <w:b/>
          <w:bCs/>
        </w:rPr>
        <w:t>Leaseways</w:t>
      </w:r>
      <w:proofErr w:type="spellEnd"/>
      <w:r>
        <w:rPr>
          <w:b/>
          <w:bCs/>
        </w:rPr>
        <w:t xml:space="preserve"> v. National Truck Leasing Association</w:t>
      </w:r>
      <w:r>
        <w:t>, 744 F.2d 588 (7</w:t>
      </w:r>
      <w:r w:rsidRPr="00E61EC8">
        <w:rPr>
          <w:vertAlign w:val="superscript"/>
        </w:rPr>
        <w:t>th</w:t>
      </w:r>
      <w:r>
        <w:t xml:space="preserve"> Cir. 1984)</w:t>
      </w:r>
      <w:r>
        <w:rPr>
          <w:rFonts w:hint="cs"/>
          <w:rtl/>
        </w:rPr>
        <w:t xml:space="preserve">, בעמ' 595; </w:t>
      </w:r>
      <w:r>
        <w:t xml:space="preserve">FTC, </w:t>
      </w:r>
      <w:r>
        <w:rPr>
          <w:b/>
          <w:bCs/>
        </w:rPr>
        <w:t>In the Matter of Polygram Holding</w:t>
      </w:r>
      <w:r>
        <w:t xml:space="preserve">, Docket No. 9298 (24.7.03), </w:t>
      </w:r>
      <w:r>
        <w:rPr>
          <w:i/>
          <w:iCs/>
        </w:rPr>
        <w:t>petition for review denied</w:t>
      </w:r>
      <w:r>
        <w:t xml:space="preserve"> </w:t>
      </w:r>
      <w:r>
        <w:rPr>
          <w:b/>
          <w:bCs/>
        </w:rPr>
        <w:t>Polygram Holding v. FTC</w:t>
      </w:r>
      <w:r>
        <w:t>, 416 F.3d 29 (D.C. Cir. 2005)</w:t>
      </w:r>
      <w:r>
        <w:rPr>
          <w:rFonts w:hint="cs"/>
          <w:rtl/>
        </w:rPr>
        <w:t>.</w:t>
      </w:r>
    </w:p>
  </w:footnote>
  <w:footnote w:id="49">
    <w:p w14:paraId="07BFFA5C" w14:textId="2580CA33" w:rsidR="006C3B31" w:rsidRPr="00661693" w:rsidRDefault="006C3B31" w:rsidP="00DD4618">
      <w:pPr>
        <w:pStyle w:val="FootnoteText"/>
        <w:spacing w:after="120"/>
        <w:jc w:val="both"/>
        <w:rPr>
          <w:rtl/>
        </w:rPr>
      </w:pPr>
      <w:r>
        <w:rPr>
          <w:rStyle w:val="FootnoteReference"/>
        </w:rPr>
        <w:footnoteRef/>
      </w:r>
      <w:r>
        <w:rPr>
          <w:rtl/>
        </w:rPr>
        <w:t xml:space="preserve"> </w:t>
      </w:r>
      <w:r>
        <w:rPr>
          <w:rFonts w:hint="cs"/>
          <w:rtl/>
        </w:rPr>
        <w:t xml:space="preserve">לדוגמה: פס"ד </w:t>
      </w:r>
      <w:proofErr w:type="spellStart"/>
      <w:r>
        <w:rPr>
          <w:rFonts w:hint="cs"/>
          <w:b/>
          <w:bCs/>
          <w:rtl/>
        </w:rPr>
        <w:t>הולנדיה</w:t>
      </w:r>
      <w:proofErr w:type="spellEnd"/>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Ref508210656 \h</w:instrText>
      </w:r>
      <w:r>
        <w:rPr>
          <w:rtl/>
        </w:rPr>
        <w:instrText xml:space="preserve"> </w:instrText>
      </w:r>
      <w:r>
        <w:rPr>
          <w:rtl/>
        </w:rPr>
      </w:r>
      <w:r>
        <w:rPr>
          <w:rtl/>
        </w:rPr>
        <w:fldChar w:fldCharType="separate"/>
      </w:r>
      <w:r w:rsidR="003F71DF">
        <w:rPr>
          <w:rtl/>
        </w:rPr>
        <w:t>23</w:t>
      </w:r>
      <w:r>
        <w:rPr>
          <w:rtl/>
        </w:rPr>
        <w:fldChar w:fldCharType="end"/>
      </w:r>
      <w:r>
        <w:rPr>
          <w:rFonts w:hint="cs"/>
          <w:rtl/>
        </w:rPr>
        <w:t xml:space="preserve"> לעיל, בין השאר בפס' 51 ואילך; פס"ד </w:t>
      </w:r>
      <w:r>
        <w:rPr>
          <w:rFonts w:hint="cs"/>
          <w:b/>
          <w:bCs/>
          <w:rtl/>
        </w:rPr>
        <w:t>שופרסל</w:t>
      </w:r>
      <w:r>
        <w:rPr>
          <w:rFonts w:hint="cs"/>
          <w:rtl/>
        </w:rPr>
        <w:t xml:space="preserve">, </w:t>
      </w:r>
      <w:proofErr w:type="spellStart"/>
      <w:r>
        <w:rPr>
          <w:rFonts w:hint="cs"/>
          <w:rtl/>
        </w:rPr>
        <w:t>ה"ש</w:t>
      </w:r>
      <w:proofErr w:type="spellEnd"/>
      <w:r>
        <w:rPr>
          <w:rFonts w:hint="cs"/>
          <w:rtl/>
        </w:rPr>
        <w:t xml:space="preserve"> </w:t>
      </w:r>
      <w:r w:rsidR="00CF5936">
        <w:rPr>
          <w:rtl/>
        </w:rPr>
        <w:fldChar w:fldCharType="begin"/>
      </w:r>
      <w:r w:rsidR="00CF5936">
        <w:rPr>
          <w:rtl/>
        </w:rPr>
        <w:instrText xml:space="preserve"> </w:instrText>
      </w:r>
      <w:r w:rsidR="00CF5936">
        <w:rPr>
          <w:rFonts w:hint="cs"/>
        </w:rPr>
        <w:instrText>NOTEREF</w:instrText>
      </w:r>
      <w:r w:rsidR="00CF5936">
        <w:rPr>
          <w:rFonts w:hint="cs"/>
          <w:rtl/>
        </w:rPr>
        <w:instrText xml:space="preserve"> _</w:instrText>
      </w:r>
      <w:r w:rsidR="00CF5936">
        <w:rPr>
          <w:rFonts w:hint="cs"/>
        </w:rPr>
        <w:instrText>Ref512270387 \h</w:instrText>
      </w:r>
      <w:r w:rsidR="00CF5936">
        <w:rPr>
          <w:rtl/>
        </w:rPr>
        <w:instrText xml:space="preserve"> </w:instrText>
      </w:r>
      <w:r w:rsidR="00CF5936">
        <w:rPr>
          <w:rtl/>
        </w:rPr>
      </w:r>
      <w:r w:rsidR="00CF5936">
        <w:rPr>
          <w:rtl/>
        </w:rPr>
        <w:fldChar w:fldCharType="separate"/>
      </w:r>
      <w:r w:rsidR="003F71DF">
        <w:rPr>
          <w:rtl/>
        </w:rPr>
        <w:t>6</w:t>
      </w:r>
      <w:r w:rsidR="00CF5936">
        <w:rPr>
          <w:rtl/>
        </w:rPr>
        <w:fldChar w:fldCharType="end"/>
      </w:r>
      <w:r w:rsidR="00DD4618">
        <w:rPr>
          <w:rFonts w:hint="cs"/>
          <w:rtl/>
        </w:rPr>
        <w:t xml:space="preserve"> </w:t>
      </w:r>
      <w:r>
        <w:rPr>
          <w:rFonts w:hint="cs"/>
          <w:rtl/>
        </w:rPr>
        <w:t xml:space="preserve">לעיל פס' עב; פס"ד </w:t>
      </w:r>
      <w:r>
        <w:rPr>
          <w:b/>
          <w:bCs/>
        </w:rPr>
        <w:t>Polk Bros.</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instrText>NOTEREF</w:instrText>
      </w:r>
      <w:r>
        <w:rPr>
          <w:rtl/>
        </w:rPr>
        <w:instrText xml:space="preserve"> _</w:instrText>
      </w:r>
      <w:r>
        <w:instrText>Ref508202139 \h</w:instrText>
      </w:r>
      <w:r>
        <w:rPr>
          <w:rtl/>
        </w:rPr>
        <w:instrText xml:space="preserve"> </w:instrText>
      </w:r>
      <w:r>
        <w:rPr>
          <w:rtl/>
        </w:rPr>
      </w:r>
      <w:r>
        <w:rPr>
          <w:rtl/>
        </w:rPr>
        <w:fldChar w:fldCharType="separate"/>
      </w:r>
      <w:r w:rsidR="003F71DF">
        <w:rPr>
          <w:rtl/>
        </w:rPr>
        <w:t>20</w:t>
      </w:r>
      <w:r>
        <w:rPr>
          <w:rtl/>
        </w:rPr>
        <w:fldChar w:fldCharType="end"/>
      </w:r>
      <w:r>
        <w:rPr>
          <w:rFonts w:hint="cs"/>
          <w:rtl/>
        </w:rPr>
        <w:t xml:space="preserve"> לעיל, בעמ' 190; פס"ד </w:t>
      </w:r>
      <w:proofErr w:type="spellStart"/>
      <w:r>
        <w:rPr>
          <w:b/>
          <w:bCs/>
        </w:rPr>
        <w:t>Rothery</w:t>
      </w:r>
      <w:proofErr w:type="spellEnd"/>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Ref508210538 \h</w:instrText>
      </w:r>
      <w:r>
        <w:rPr>
          <w:rtl/>
        </w:rPr>
        <w:instrText xml:space="preserve"> </w:instrText>
      </w:r>
      <w:r>
        <w:rPr>
          <w:rtl/>
        </w:rPr>
      </w:r>
      <w:r>
        <w:rPr>
          <w:rtl/>
        </w:rPr>
        <w:fldChar w:fldCharType="separate"/>
      </w:r>
      <w:r w:rsidR="003F71DF">
        <w:rPr>
          <w:rtl/>
        </w:rPr>
        <w:t>21</w:t>
      </w:r>
      <w:r>
        <w:rPr>
          <w:rtl/>
        </w:rPr>
        <w:fldChar w:fldCharType="end"/>
      </w:r>
      <w:r>
        <w:rPr>
          <w:rFonts w:hint="cs"/>
          <w:rtl/>
        </w:rPr>
        <w:t xml:space="preserve"> לעיל, בעמ' 212-213, 221-224; גילוי דעת 2/17 בעניין הסדרי הכתבת מחיר אנכית (</w:t>
      </w:r>
      <w:r>
        <w:t>RPM</w:t>
      </w:r>
      <w:r>
        <w:rPr>
          <w:rFonts w:hint="cs"/>
          <w:rtl/>
        </w:rPr>
        <w:t xml:space="preserve">), בעמ' 9-10.  </w:t>
      </w:r>
    </w:p>
  </w:footnote>
  <w:footnote w:id="50">
    <w:p w14:paraId="6AF454E4" w14:textId="7ED5F7BB" w:rsidR="006C3B31" w:rsidRPr="00CF7D43" w:rsidRDefault="006C3B31" w:rsidP="003D45D6">
      <w:pPr>
        <w:pStyle w:val="FootnoteText"/>
        <w:spacing w:after="120"/>
        <w:jc w:val="both"/>
        <w:rPr>
          <w:rtl/>
        </w:rPr>
      </w:pPr>
      <w:r>
        <w:rPr>
          <w:rStyle w:val="FootnoteReference"/>
        </w:rPr>
        <w:footnoteRef/>
      </w:r>
      <w:r>
        <w:rPr>
          <w:rtl/>
        </w:rPr>
        <w:t xml:space="preserve"> </w:t>
      </w:r>
      <w:r>
        <w:t>R. Bork, "Ancillary Restraints and the Sherman Act," 15 A.B.A. Antitrust Law Section 211 (1959</w:t>
      </w:r>
      <w:proofErr w:type="gramStart"/>
      <w:r>
        <w:t xml:space="preserve">) </w:t>
      </w:r>
      <w:r>
        <w:rPr>
          <w:rFonts w:hint="cs"/>
          <w:rtl/>
        </w:rPr>
        <w:t>,</w:t>
      </w:r>
      <w:proofErr w:type="gramEnd"/>
      <w:r>
        <w:rPr>
          <w:rFonts w:hint="cs"/>
          <w:rtl/>
        </w:rPr>
        <w:t xml:space="preserve"> בעמ' 224-225. לעניין </w:t>
      </w:r>
      <w:r w:rsidR="00082D59">
        <w:rPr>
          <w:rFonts w:hint="cs"/>
          <w:rtl/>
        </w:rPr>
        <w:t xml:space="preserve">התחייבות </w:t>
      </w:r>
      <w:r>
        <w:rPr>
          <w:rFonts w:hint="cs"/>
          <w:rtl/>
        </w:rPr>
        <w:t xml:space="preserve">משתמעת או מכוח הדין ראו סע' 39 לפקודת השותפויות [נוסח חדש], תשל"ה-1975; ע"א 415/88 </w:t>
      </w:r>
      <w:r>
        <w:rPr>
          <w:rFonts w:hint="cs"/>
          <w:b/>
          <w:bCs/>
          <w:rtl/>
        </w:rPr>
        <w:t>החברה הכלכלית לאילת (תכ"א) בע"מ נ' ברטון תכנון וייצור בע"מ</w:t>
      </w:r>
      <w:r>
        <w:rPr>
          <w:rFonts w:hint="cs"/>
          <w:rtl/>
        </w:rPr>
        <w:t xml:space="preserve">, פ"ד מג(4) 672; מ. מזרחי, "מיזם משותף כהסדר כובל", </w:t>
      </w:r>
      <w:r>
        <w:rPr>
          <w:rFonts w:hint="cs"/>
          <w:b/>
          <w:bCs/>
          <w:rtl/>
        </w:rPr>
        <w:t>משפטים כ"ג</w:t>
      </w:r>
      <w:r>
        <w:rPr>
          <w:rFonts w:hint="cs"/>
          <w:rtl/>
        </w:rPr>
        <w:t xml:space="preserve"> (תשנ"ד) עמ' 213. </w:t>
      </w:r>
    </w:p>
  </w:footnote>
  <w:footnote w:id="51">
    <w:p w14:paraId="2CDA2728" w14:textId="35767661" w:rsidR="006C3B31" w:rsidRPr="007D13C5" w:rsidRDefault="006C3B31" w:rsidP="00B1460E">
      <w:pPr>
        <w:pStyle w:val="FootnoteText"/>
        <w:spacing w:after="120"/>
        <w:jc w:val="both"/>
        <w:rPr>
          <w:rtl/>
        </w:rPr>
      </w:pPr>
      <w:r>
        <w:rPr>
          <w:rStyle w:val="FootnoteReference"/>
        </w:rPr>
        <w:footnoteRef/>
      </w:r>
      <w:r>
        <w:rPr>
          <w:rtl/>
        </w:rPr>
        <w:t xml:space="preserve"> </w:t>
      </w:r>
      <w:r>
        <w:rPr>
          <w:rFonts w:hint="cs"/>
          <w:rtl/>
        </w:rPr>
        <w:t xml:space="preserve">לדוגמה, רעיונות </w:t>
      </w:r>
      <w:r w:rsidR="00B2215C">
        <w:rPr>
          <w:rFonts w:hint="cs"/>
          <w:rtl/>
        </w:rPr>
        <w:t xml:space="preserve">עסקיים </w:t>
      </w:r>
      <w:r>
        <w:rPr>
          <w:rFonts w:hint="cs"/>
          <w:rtl/>
        </w:rPr>
        <w:t>רבים אינם נהנים מהגנה כלשהי על-פי דיני קניין רוחני (</w:t>
      </w:r>
      <w:proofErr w:type="spellStart"/>
      <w:r w:rsidR="00B2215C">
        <w:t>Areeda</w:t>
      </w:r>
      <w:proofErr w:type="spellEnd"/>
      <w:r w:rsidR="00B2215C">
        <w:t xml:space="preserve"> &amp; </w:t>
      </w:r>
      <w:proofErr w:type="spellStart"/>
      <w:r w:rsidR="00B2215C">
        <w:t>Hovenkamp</w:t>
      </w:r>
      <w:proofErr w:type="spellEnd"/>
      <w:r>
        <w:rPr>
          <w:rFonts w:hint="cs"/>
          <w:rtl/>
        </w:rPr>
        <w:t xml:space="preserve"> </w:t>
      </w:r>
      <w:r w:rsidR="00B2215C">
        <w:rPr>
          <w:rFonts w:hint="cs"/>
          <w:rtl/>
        </w:rPr>
        <w:t xml:space="preserve">מציעים מספר דוגמות לכך, ביניהן </w:t>
      </w:r>
      <w:r>
        <w:rPr>
          <w:rFonts w:hint="cs"/>
          <w:rtl/>
        </w:rPr>
        <w:t>הרעיון</w:t>
      </w:r>
      <w:r w:rsidR="00B2215C">
        <w:rPr>
          <w:rFonts w:hint="cs"/>
          <w:rtl/>
        </w:rPr>
        <w:t xml:space="preserve"> השיווקי</w:t>
      </w:r>
      <w:r>
        <w:rPr>
          <w:rFonts w:hint="cs"/>
          <w:rtl/>
        </w:rPr>
        <w:t xml:space="preserve"> ל</w:t>
      </w:r>
      <w:r w:rsidR="00B2215C">
        <w:rPr>
          <w:rFonts w:hint="cs"/>
          <w:rtl/>
        </w:rPr>
        <w:t xml:space="preserve">צרף </w:t>
      </w:r>
      <w:r>
        <w:rPr>
          <w:rFonts w:hint="cs"/>
          <w:rtl/>
        </w:rPr>
        <w:t xml:space="preserve">צעצוע לארוחת ילדים בחנות מזון מהיר). אם הרעיון מוכיח את עצמו כמוצלח, עסקים אחרים יכולים לאמץ אותו מבלי לפצות את מי שהמציא את הרעיון. הנאת חינם במצבים כאלה נחשבת כלגיטימית ומותרת. ראו </w:t>
      </w:r>
      <w:r w:rsidR="00D96162">
        <w:t xml:space="preserve">P. </w:t>
      </w:r>
      <w:proofErr w:type="spellStart"/>
      <w:r w:rsidR="00D96162">
        <w:t>Areeda</w:t>
      </w:r>
      <w:proofErr w:type="spellEnd"/>
      <w:r w:rsidR="00D96162">
        <w:t xml:space="preserve"> &amp; </w:t>
      </w:r>
      <w:r>
        <w:t xml:space="preserve">H. </w:t>
      </w:r>
      <w:proofErr w:type="spellStart"/>
      <w:r>
        <w:t>Hovenkamp</w:t>
      </w:r>
      <w:proofErr w:type="spellEnd"/>
      <w:r>
        <w:t xml:space="preserve">, </w:t>
      </w:r>
      <w:r>
        <w:rPr>
          <w:b/>
          <w:bCs/>
        </w:rPr>
        <w:t>Antitrust Law</w:t>
      </w:r>
      <w:r w:rsidR="00D96162">
        <w:rPr>
          <w:rFonts w:hint="cs"/>
          <w:rtl/>
        </w:rPr>
        <w:t xml:space="preserve">, </w:t>
      </w:r>
      <w:proofErr w:type="spellStart"/>
      <w:r w:rsidR="00D96162">
        <w:rPr>
          <w:rFonts w:hint="cs"/>
          <w:rtl/>
        </w:rPr>
        <w:t>ה"ש</w:t>
      </w:r>
      <w:proofErr w:type="spellEnd"/>
      <w:r w:rsidR="00D96162">
        <w:rPr>
          <w:rFonts w:hint="cs"/>
          <w:rtl/>
        </w:rPr>
        <w:t xml:space="preserve"> </w:t>
      </w:r>
      <w:r w:rsidR="00D96162">
        <w:rPr>
          <w:rtl/>
        </w:rPr>
        <w:fldChar w:fldCharType="begin"/>
      </w:r>
      <w:r w:rsidR="00D96162">
        <w:rPr>
          <w:rtl/>
        </w:rPr>
        <w:instrText xml:space="preserve"> </w:instrText>
      </w:r>
      <w:r w:rsidR="00D96162">
        <w:rPr>
          <w:rFonts w:hint="cs"/>
        </w:rPr>
        <w:instrText>NOTEREF</w:instrText>
      </w:r>
      <w:r w:rsidR="00D96162">
        <w:rPr>
          <w:rFonts w:hint="cs"/>
          <w:rtl/>
        </w:rPr>
        <w:instrText xml:space="preserve"> _</w:instrText>
      </w:r>
      <w:r w:rsidR="00D96162">
        <w:rPr>
          <w:rFonts w:hint="cs"/>
        </w:rPr>
        <w:instrText>Ref511663549 \h</w:instrText>
      </w:r>
      <w:r w:rsidR="00D96162">
        <w:rPr>
          <w:rtl/>
        </w:rPr>
        <w:instrText xml:space="preserve"> </w:instrText>
      </w:r>
      <w:r w:rsidR="00D96162">
        <w:rPr>
          <w:rtl/>
        </w:rPr>
      </w:r>
      <w:r w:rsidR="00D96162">
        <w:rPr>
          <w:rtl/>
        </w:rPr>
        <w:fldChar w:fldCharType="separate"/>
      </w:r>
      <w:r w:rsidR="003F71DF">
        <w:rPr>
          <w:rtl/>
        </w:rPr>
        <w:t>12</w:t>
      </w:r>
      <w:r w:rsidR="00D96162">
        <w:rPr>
          <w:rtl/>
        </w:rPr>
        <w:fldChar w:fldCharType="end"/>
      </w:r>
      <w:r w:rsidR="00D96162">
        <w:rPr>
          <w:rFonts w:hint="cs"/>
          <w:rtl/>
        </w:rPr>
        <w:t xml:space="preserve"> לעיל, </w:t>
      </w:r>
      <w:r w:rsidR="00D96162">
        <w:t>¶2032b</w:t>
      </w:r>
      <w:r w:rsidR="00D96162">
        <w:rPr>
          <w:rFonts w:hint="cs"/>
          <w:rtl/>
        </w:rPr>
        <w:t xml:space="preserve">, </w:t>
      </w:r>
      <w:r w:rsidR="00D96162">
        <w:t>¶1613b</w:t>
      </w:r>
      <w:proofErr w:type="gramStart"/>
      <w:r>
        <w:rPr>
          <w:rFonts w:hint="cs"/>
          <w:rtl/>
        </w:rPr>
        <w:t xml:space="preserve">;  </w:t>
      </w:r>
      <w:r>
        <w:t>M</w:t>
      </w:r>
      <w:proofErr w:type="gramEnd"/>
      <w:r>
        <w:t xml:space="preserve">. </w:t>
      </w:r>
      <w:proofErr w:type="spellStart"/>
      <w:r>
        <w:t>Lemley</w:t>
      </w:r>
      <w:proofErr w:type="spellEnd"/>
      <w:r>
        <w:t>, "</w:t>
      </w:r>
      <w:r>
        <w:rPr>
          <w:rFonts w:ascii="Times New Roman" w:hAnsi="Times New Roman" w:cs="Times New Roman"/>
        </w:rPr>
        <w:t>Property, Intellectual Property, and Free Riding</w:t>
      </w:r>
      <w:r>
        <w:t xml:space="preserve">," 83 </w:t>
      </w:r>
      <w:r>
        <w:rPr>
          <w:b/>
          <w:bCs/>
        </w:rPr>
        <w:t>Tex. L. Rev.</w:t>
      </w:r>
      <w:r>
        <w:t xml:space="preserve"> 1031 (2005)</w:t>
      </w:r>
      <w:r>
        <w:rPr>
          <w:rFonts w:hint="cs"/>
          <w:rtl/>
        </w:rPr>
        <w:t>, בעמ' 1049-1050.</w:t>
      </w:r>
    </w:p>
  </w:footnote>
  <w:footnote w:id="52">
    <w:p w14:paraId="6FF01C0F" w14:textId="7BE14470" w:rsidR="006C3B31" w:rsidRPr="00284657" w:rsidRDefault="006C3B31" w:rsidP="008A7733">
      <w:pPr>
        <w:pStyle w:val="FootnoteText"/>
        <w:spacing w:after="120"/>
        <w:jc w:val="both"/>
        <w:rPr>
          <w:b/>
          <w:bCs/>
          <w:rtl/>
        </w:rPr>
      </w:pPr>
      <w:r>
        <w:rPr>
          <w:rStyle w:val="FootnoteReference"/>
        </w:rPr>
        <w:footnoteRef/>
      </w:r>
      <w:r>
        <w:rPr>
          <w:rtl/>
        </w:rPr>
        <w:t xml:space="preserve"> </w:t>
      </w:r>
      <w:r>
        <w:rPr>
          <w:rFonts w:hint="cs"/>
          <w:rtl/>
        </w:rPr>
        <w:t xml:space="preserve">עניין </w:t>
      </w:r>
      <w:r>
        <w:rPr>
          <w:b/>
          <w:bCs/>
        </w:rPr>
        <w:t>Polygram</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Ref506810153 \h</w:instrText>
      </w:r>
      <w:r>
        <w:rPr>
          <w:rtl/>
        </w:rPr>
        <w:instrText xml:space="preserve">  \* </w:instrText>
      </w:r>
      <w:r>
        <w:instrText>MERGEFORMAT</w:instrText>
      </w:r>
      <w:r>
        <w:rPr>
          <w:rtl/>
        </w:rPr>
        <w:instrText xml:space="preserve"> </w:instrText>
      </w:r>
      <w:r>
        <w:rPr>
          <w:rtl/>
        </w:rPr>
      </w:r>
      <w:r>
        <w:rPr>
          <w:rtl/>
        </w:rPr>
        <w:fldChar w:fldCharType="separate"/>
      </w:r>
      <w:r w:rsidR="003F71DF">
        <w:rPr>
          <w:rtl/>
        </w:rPr>
        <w:t>48</w:t>
      </w:r>
      <w:r>
        <w:rPr>
          <w:rtl/>
        </w:rPr>
        <w:fldChar w:fldCharType="end"/>
      </w:r>
      <w:r>
        <w:rPr>
          <w:rFonts w:hint="cs"/>
          <w:rtl/>
        </w:rPr>
        <w:t xml:space="preserve"> לעיל, </w:t>
      </w:r>
      <w:r w:rsidR="00551604">
        <w:rPr>
          <w:rFonts w:hint="cs"/>
          <w:rtl/>
        </w:rPr>
        <w:t>ב</w:t>
      </w:r>
      <w:r>
        <w:rPr>
          <w:rFonts w:hint="cs"/>
          <w:rtl/>
        </w:rPr>
        <w:t>עמ' 43</w:t>
      </w:r>
      <w:r w:rsidR="00551604">
        <w:rPr>
          <w:rFonts w:hint="cs"/>
          <w:rtl/>
        </w:rPr>
        <w:t>:</w:t>
      </w:r>
      <w:r w:rsidR="00F46F09">
        <w:rPr>
          <w:rFonts w:hint="cs"/>
          <w:rtl/>
        </w:rPr>
        <w:t xml:space="preserve">  </w:t>
      </w:r>
      <w:r w:rsidR="00F46F09">
        <w:rPr>
          <w:rFonts w:hint="cs"/>
          <w:b/>
          <w:bCs/>
          <w:rtl/>
        </w:rPr>
        <w:t>"</w:t>
      </w:r>
      <w:r w:rsidR="00F46F09">
        <w:rPr>
          <w:b/>
          <w:bCs/>
        </w:rPr>
        <w:t xml:space="preserve">The sort of behavior that Respondents disparage as 'free-riding' – </w:t>
      </w:r>
      <w:r w:rsidR="00F46F09">
        <w:rPr>
          <w:b/>
          <w:bCs/>
          <w:i/>
          <w:iCs/>
        </w:rPr>
        <w:t>i.e.</w:t>
      </w:r>
      <w:r w:rsidR="00F46F09">
        <w:rPr>
          <w:b/>
          <w:bCs/>
        </w:rPr>
        <w:t xml:space="preserve">, </w:t>
      </w:r>
      <w:proofErr w:type="gramStart"/>
      <w:r w:rsidR="00F46F09">
        <w:rPr>
          <w:b/>
          <w:bCs/>
        </w:rPr>
        <w:t>taking</w:t>
      </w:r>
      <w:proofErr w:type="gramEnd"/>
      <w:r w:rsidR="00F46F09">
        <w:rPr>
          <w:b/>
          <w:bCs/>
        </w:rPr>
        <w:t xml:space="preserve"> advantage of the interest in competing products that promotional efforts for one product may induce – is an essential part of the process of competition that occurs daily throughout our economy</w:t>
      </w:r>
      <w:r w:rsidR="00F46F09">
        <w:rPr>
          <w:rFonts w:hint="cs"/>
          <w:b/>
          <w:bCs/>
          <w:rtl/>
        </w:rPr>
        <w:t>"</w:t>
      </w:r>
      <w:r w:rsidR="00F46F09">
        <w:rPr>
          <w:rFonts w:hint="cs"/>
          <w:rtl/>
        </w:rPr>
        <w:t>.</w:t>
      </w:r>
      <w:r w:rsidR="008A7733">
        <w:rPr>
          <w:rFonts w:hint="cs"/>
          <w:rtl/>
        </w:rPr>
        <w:t xml:space="preserve"> כן ראו את דברי בית-המשפט לערעורים בעניין </w:t>
      </w:r>
      <w:r w:rsidR="008A7733">
        <w:rPr>
          <w:b/>
          <w:bCs/>
        </w:rPr>
        <w:t>Polygram</w:t>
      </w:r>
      <w:r w:rsidR="008A7733">
        <w:rPr>
          <w:rFonts w:hint="cs"/>
          <w:rtl/>
        </w:rPr>
        <w:t xml:space="preserve">, </w:t>
      </w:r>
      <w:r w:rsidR="008A7733">
        <w:t>416 F.3d</w:t>
      </w:r>
      <w:r w:rsidR="008A7733">
        <w:rPr>
          <w:rFonts w:hint="cs"/>
          <w:rtl/>
        </w:rPr>
        <w:t xml:space="preserve"> בעמ' 38: </w:t>
      </w:r>
      <w:r w:rsidR="008A7733">
        <w:rPr>
          <w:rFonts w:hint="cs"/>
          <w:b/>
          <w:bCs/>
          <w:rtl/>
        </w:rPr>
        <w:t>"</w:t>
      </w:r>
      <w:r w:rsidR="008A7733">
        <w:rPr>
          <w:b/>
          <w:bCs/>
        </w:rPr>
        <w:t>The 'free-riding' to be eliminated by the moratorium agreement, however, was nothing more than the competition of products that were not part of the joint undertaking</w:t>
      </w:r>
      <w:r w:rsidR="008A7733">
        <w:rPr>
          <w:rFonts w:hint="cs"/>
          <w:b/>
          <w:bCs/>
          <w:rtl/>
        </w:rPr>
        <w:t>"</w:t>
      </w:r>
      <w:r w:rsidR="008A7733">
        <w:rPr>
          <w:rFonts w:hint="cs"/>
          <w:rtl/>
        </w:rPr>
        <w:t>.</w:t>
      </w:r>
      <w:r>
        <w:rPr>
          <w:rFonts w:hint="cs"/>
          <w:rtl/>
        </w:rPr>
        <w:t xml:space="preserve"> </w:t>
      </w:r>
      <w:r w:rsidR="000237A7">
        <w:rPr>
          <w:rFonts w:hint="cs"/>
          <w:rtl/>
        </w:rPr>
        <w:t xml:space="preserve"> </w:t>
      </w:r>
    </w:p>
  </w:footnote>
  <w:footnote w:id="53">
    <w:p w14:paraId="397EF24A" w14:textId="7D47D4B0" w:rsidR="006C3B31" w:rsidRPr="00F106CE" w:rsidRDefault="006C3B31" w:rsidP="00FE463F">
      <w:pPr>
        <w:pStyle w:val="FootnoteText"/>
        <w:spacing w:after="120"/>
        <w:jc w:val="both"/>
        <w:rPr>
          <w:rtl/>
        </w:rPr>
      </w:pPr>
      <w:r>
        <w:rPr>
          <w:rStyle w:val="FootnoteReference"/>
        </w:rPr>
        <w:footnoteRef/>
      </w:r>
      <w:r>
        <w:rPr>
          <w:rtl/>
        </w:rPr>
        <w:t xml:space="preserve"> </w:t>
      </w:r>
      <w:r w:rsidR="00551604">
        <w:rPr>
          <w:rFonts w:hint="cs"/>
          <w:rtl/>
        </w:rPr>
        <w:t xml:space="preserve">עניין </w:t>
      </w:r>
      <w:r w:rsidR="00551604">
        <w:rPr>
          <w:b/>
          <w:bCs/>
        </w:rPr>
        <w:t>Polygram</w:t>
      </w:r>
      <w:r w:rsidR="00551604">
        <w:rPr>
          <w:rFonts w:hint="cs"/>
          <w:rtl/>
        </w:rPr>
        <w:t xml:space="preserve">, </w:t>
      </w:r>
      <w:proofErr w:type="spellStart"/>
      <w:r w:rsidR="00551604">
        <w:rPr>
          <w:rFonts w:hint="cs"/>
          <w:rtl/>
        </w:rPr>
        <w:t>ה"ש</w:t>
      </w:r>
      <w:proofErr w:type="spellEnd"/>
      <w:r w:rsidR="00551604">
        <w:rPr>
          <w:rFonts w:hint="cs"/>
          <w:rtl/>
        </w:rPr>
        <w:t xml:space="preserve"> </w:t>
      </w:r>
      <w:r w:rsidR="00551604">
        <w:rPr>
          <w:rtl/>
        </w:rPr>
        <w:fldChar w:fldCharType="begin"/>
      </w:r>
      <w:r w:rsidR="00551604">
        <w:rPr>
          <w:rtl/>
        </w:rPr>
        <w:instrText xml:space="preserve"> </w:instrText>
      </w:r>
      <w:r w:rsidR="00551604">
        <w:rPr>
          <w:rFonts w:hint="cs"/>
        </w:rPr>
        <w:instrText>NOTEREF</w:instrText>
      </w:r>
      <w:r w:rsidR="00551604">
        <w:rPr>
          <w:rFonts w:hint="cs"/>
          <w:rtl/>
        </w:rPr>
        <w:instrText xml:space="preserve"> _</w:instrText>
      </w:r>
      <w:r w:rsidR="00551604">
        <w:rPr>
          <w:rFonts w:hint="cs"/>
        </w:rPr>
        <w:instrText>Ref506810153 \h</w:instrText>
      </w:r>
      <w:r w:rsidR="00551604">
        <w:rPr>
          <w:rtl/>
        </w:rPr>
        <w:instrText xml:space="preserve"> </w:instrText>
      </w:r>
      <w:r w:rsidR="00551604">
        <w:rPr>
          <w:rtl/>
        </w:rPr>
      </w:r>
      <w:r w:rsidR="00551604">
        <w:rPr>
          <w:rtl/>
        </w:rPr>
        <w:fldChar w:fldCharType="separate"/>
      </w:r>
      <w:r w:rsidR="003F71DF">
        <w:rPr>
          <w:rtl/>
        </w:rPr>
        <w:t>48</w:t>
      </w:r>
      <w:r w:rsidR="00551604">
        <w:rPr>
          <w:rtl/>
        </w:rPr>
        <w:fldChar w:fldCharType="end"/>
      </w:r>
      <w:r w:rsidR="00551604">
        <w:rPr>
          <w:rFonts w:hint="cs"/>
          <w:rtl/>
        </w:rPr>
        <w:t xml:space="preserve"> לעיל, בעמ' 43-44 (סיכום בין מתחרים להימנע מהנאת חינם זה מפרסומיו של זה יהיה אסור </w:t>
      </w:r>
      <w:r w:rsidR="00551604">
        <w:t>per se</w:t>
      </w:r>
      <w:r w:rsidR="00551604">
        <w:rPr>
          <w:rFonts w:hint="cs"/>
          <w:rtl/>
        </w:rPr>
        <w:t xml:space="preserve">); </w:t>
      </w:r>
      <w:r w:rsidR="00D23EB2">
        <w:t xml:space="preserve">P. </w:t>
      </w:r>
      <w:proofErr w:type="spellStart"/>
      <w:r w:rsidR="00D23EB2">
        <w:t>Areeda</w:t>
      </w:r>
      <w:proofErr w:type="spellEnd"/>
      <w:r w:rsidR="00D23EB2">
        <w:t xml:space="preserve"> &amp; H. </w:t>
      </w:r>
      <w:proofErr w:type="spellStart"/>
      <w:r>
        <w:t>Hovenkamp</w:t>
      </w:r>
      <w:proofErr w:type="spellEnd"/>
      <w:r>
        <w:rPr>
          <w:rFonts w:hint="cs"/>
          <w:rtl/>
        </w:rPr>
        <w:t xml:space="preserve">, </w:t>
      </w:r>
      <w:proofErr w:type="spellStart"/>
      <w:r>
        <w:rPr>
          <w:rFonts w:hint="cs"/>
          <w:rtl/>
        </w:rPr>
        <w:t>ה"ש</w:t>
      </w:r>
      <w:proofErr w:type="spellEnd"/>
      <w:r>
        <w:rPr>
          <w:rFonts w:hint="cs"/>
          <w:rtl/>
        </w:rPr>
        <w:t xml:space="preserve"> </w:t>
      </w:r>
      <w:r w:rsidR="00FE463F">
        <w:rPr>
          <w:rtl/>
        </w:rPr>
        <w:fldChar w:fldCharType="begin"/>
      </w:r>
      <w:r w:rsidR="00FE463F">
        <w:rPr>
          <w:rtl/>
        </w:rPr>
        <w:instrText xml:space="preserve"> </w:instrText>
      </w:r>
      <w:r w:rsidR="00FE463F">
        <w:rPr>
          <w:rFonts w:hint="cs"/>
        </w:rPr>
        <w:instrText>NOTEREF</w:instrText>
      </w:r>
      <w:r w:rsidR="00FE463F">
        <w:rPr>
          <w:rFonts w:hint="cs"/>
          <w:rtl/>
        </w:rPr>
        <w:instrText xml:space="preserve"> _</w:instrText>
      </w:r>
      <w:r w:rsidR="00FE463F">
        <w:rPr>
          <w:rFonts w:hint="cs"/>
        </w:rPr>
        <w:instrText>Ref511663549 \h</w:instrText>
      </w:r>
      <w:r w:rsidR="00FE463F">
        <w:rPr>
          <w:rtl/>
        </w:rPr>
        <w:instrText xml:space="preserve"> </w:instrText>
      </w:r>
      <w:r w:rsidR="00FE463F">
        <w:rPr>
          <w:rtl/>
        </w:rPr>
      </w:r>
      <w:r w:rsidR="00FE463F">
        <w:rPr>
          <w:rtl/>
        </w:rPr>
        <w:fldChar w:fldCharType="separate"/>
      </w:r>
      <w:r w:rsidR="003F71DF">
        <w:rPr>
          <w:rtl/>
        </w:rPr>
        <w:t>12</w:t>
      </w:r>
      <w:r w:rsidR="00FE463F">
        <w:rPr>
          <w:rtl/>
        </w:rPr>
        <w:fldChar w:fldCharType="end"/>
      </w:r>
      <w:r>
        <w:rPr>
          <w:rFonts w:hint="cs"/>
          <w:rtl/>
        </w:rPr>
        <w:t xml:space="preserve"> לעיל</w:t>
      </w:r>
      <w:proofErr w:type="gramStart"/>
      <w:r>
        <w:rPr>
          <w:rFonts w:hint="cs"/>
          <w:rtl/>
        </w:rPr>
        <w:t xml:space="preserve">,  </w:t>
      </w:r>
      <w:r>
        <w:rPr>
          <w:rFonts w:ascii="Arial" w:hAnsi="Arial" w:cs="Arial"/>
        </w:rPr>
        <w:t>¶</w:t>
      </w:r>
      <w:proofErr w:type="gramEnd"/>
      <w:r>
        <w:t>2032b</w:t>
      </w:r>
      <w:r>
        <w:rPr>
          <w:rFonts w:hint="cs"/>
          <w:rtl/>
        </w:rPr>
        <w:t>.</w:t>
      </w:r>
    </w:p>
  </w:footnote>
  <w:footnote w:id="54">
    <w:p w14:paraId="5621C3B8" w14:textId="4E3B97D5" w:rsidR="006C3B31" w:rsidRPr="002D02D6" w:rsidRDefault="006C3B31" w:rsidP="003F0CFE">
      <w:pPr>
        <w:pStyle w:val="FootnoteText"/>
        <w:spacing w:after="120"/>
        <w:jc w:val="both"/>
        <w:rPr>
          <w:rtl/>
        </w:rPr>
      </w:pPr>
      <w:r>
        <w:rPr>
          <w:rStyle w:val="FootnoteReference"/>
        </w:rPr>
        <w:footnoteRef/>
      </w:r>
      <w:r>
        <w:rPr>
          <w:rFonts w:hint="cs"/>
          <w:rtl/>
        </w:rPr>
        <w:t xml:space="preserve"> </w:t>
      </w:r>
      <w:r>
        <w:rPr>
          <w:rFonts w:hint="cs"/>
          <w:rtl/>
        </w:rPr>
        <w:t xml:space="preserve">פס"ד </w:t>
      </w:r>
      <w:proofErr w:type="spellStart"/>
      <w:r>
        <w:rPr>
          <w:b/>
          <w:bCs/>
        </w:rPr>
        <w:t>Rothery</w:t>
      </w:r>
      <w:proofErr w:type="spellEnd"/>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Ref508210538 \h</w:instrText>
      </w:r>
      <w:r>
        <w:rPr>
          <w:rtl/>
        </w:rPr>
        <w:instrText xml:space="preserve"> </w:instrText>
      </w:r>
      <w:r>
        <w:rPr>
          <w:rtl/>
        </w:rPr>
      </w:r>
      <w:r>
        <w:rPr>
          <w:rtl/>
        </w:rPr>
        <w:fldChar w:fldCharType="separate"/>
      </w:r>
      <w:r w:rsidR="003F71DF">
        <w:rPr>
          <w:rtl/>
        </w:rPr>
        <w:t>21</w:t>
      </w:r>
      <w:r>
        <w:rPr>
          <w:rtl/>
        </w:rPr>
        <w:fldChar w:fldCharType="end"/>
      </w:r>
      <w:r>
        <w:rPr>
          <w:rFonts w:hint="cs"/>
          <w:rtl/>
        </w:rPr>
        <w:t xml:space="preserve"> לעיל, בעמ' 224; פס"ד </w:t>
      </w:r>
      <w:r>
        <w:rPr>
          <w:b/>
          <w:bCs/>
        </w:rPr>
        <w:t>Metropole</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Ref508210785 \h</w:instrText>
      </w:r>
      <w:r>
        <w:rPr>
          <w:rtl/>
        </w:rPr>
        <w:instrText xml:space="preserve"> </w:instrText>
      </w:r>
      <w:r>
        <w:rPr>
          <w:rtl/>
        </w:rPr>
      </w:r>
      <w:r>
        <w:rPr>
          <w:rtl/>
        </w:rPr>
        <w:fldChar w:fldCharType="separate"/>
      </w:r>
      <w:r w:rsidR="003F71DF">
        <w:rPr>
          <w:rtl/>
        </w:rPr>
        <w:t>22</w:t>
      </w:r>
      <w:r>
        <w:rPr>
          <w:rtl/>
        </w:rPr>
        <w:fldChar w:fldCharType="end"/>
      </w:r>
      <w:r>
        <w:rPr>
          <w:rFonts w:hint="cs"/>
          <w:rtl/>
        </w:rPr>
        <w:t xml:space="preserve"> לעיל, פס' 106, 113. </w:t>
      </w:r>
      <w:proofErr w:type="gramStart"/>
      <w:r>
        <w:t>Canadian Competitor Collaboration Guidelines</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Ref508212460 \h</w:instrText>
      </w:r>
      <w:r>
        <w:rPr>
          <w:rtl/>
        </w:rPr>
        <w:instrText xml:space="preserve"> </w:instrText>
      </w:r>
      <w:r>
        <w:rPr>
          <w:rtl/>
        </w:rPr>
      </w:r>
      <w:r>
        <w:rPr>
          <w:rtl/>
        </w:rPr>
        <w:fldChar w:fldCharType="separate"/>
      </w:r>
      <w:r w:rsidR="003F71DF">
        <w:rPr>
          <w:rtl/>
        </w:rPr>
        <w:t>28</w:t>
      </w:r>
      <w:r>
        <w:rPr>
          <w:rtl/>
        </w:rPr>
        <w:fldChar w:fldCharType="end"/>
      </w:r>
      <w:r>
        <w:rPr>
          <w:rFonts w:hint="cs"/>
          <w:rtl/>
        </w:rPr>
        <w:t xml:space="preserve"> לעיל, פס' 2.5.3.</w:t>
      </w:r>
      <w:proofErr w:type="gramEnd"/>
    </w:p>
  </w:footnote>
  <w:footnote w:id="55">
    <w:p w14:paraId="11767843" w14:textId="3764CD47" w:rsidR="006C3B31" w:rsidRDefault="006C3B31" w:rsidP="00BD62B3">
      <w:pPr>
        <w:pStyle w:val="FootnoteText"/>
        <w:spacing w:after="120"/>
        <w:jc w:val="both"/>
        <w:rPr>
          <w:rtl/>
        </w:rPr>
      </w:pPr>
      <w:r>
        <w:rPr>
          <w:rStyle w:val="FootnoteReference"/>
        </w:rPr>
        <w:footnoteRef/>
      </w:r>
      <w:r>
        <w:rPr>
          <w:rtl/>
        </w:rPr>
        <w:t xml:space="preserve"> </w:t>
      </w:r>
      <w:proofErr w:type="spellStart"/>
      <w:r>
        <w:rPr>
          <w:rFonts w:hint="cs"/>
          <w:rtl/>
        </w:rPr>
        <w:t>ה"ש</w:t>
      </w:r>
      <w:proofErr w:type="spellEnd"/>
      <w:r>
        <w:rPr>
          <w:rFonts w:hint="cs"/>
          <w:rtl/>
        </w:rPr>
        <w:t xml:space="preserve"> </w:t>
      </w:r>
      <w:r w:rsidRPr="00057443">
        <w:rPr>
          <w:rtl/>
        </w:rPr>
        <w:fldChar w:fldCharType="begin"/>
      </w:r>
      <w:r w:rsidRPr="00057443">
        <w:rPr>
          <w:rtl/>
        </w:rPr>
        <w:instrText xml:space="preserve"> </w:instrText>
      </w:r>
      <w:r w:rsidRPr="00057443">
        <w:instrText>NOTEREF</w:instrText>
      </w:r>
      <w:r w:rsidRPr="00057443">
        <w:rPr>
          <w:rtl/>
        </w:rPr>
        <w:instrText xml:space="preserve"> _</w:instrText>
      </w:r>
      <w:r w:rsidRPr="00057443">
        <w:instrText>Ref508190643 \h</w:instrText>
      </w:r>
      <w:r w:rsidRPr="00057443">
        <w:rPr>
          <w:rtl/>
        </w:rPr>
        <w:instrText xml:space="preserve"> </w:instrText>
      </w:r>
      <w:r>
        <w:rPr>
          <w:rtl/>
        </w:rPr>
        <w:instrText xml:space="preserve"> \* </w:instrText>
      </w:r>
      <w:r>
        <w:instrText>MERGEFORMAT</w:instrText>
      </w:r>
      <w:r>
        <w:rPr>
          <w:rtl/>
        </w:rPr>
        <w:instrText xml:space="preserve"> </w:instrText>
      </w:r>
      <w:r w:rsidRPr="00057443">
        <w:rPr>
          <w:rtl/>
        </w:rPr>
      </w:r>
      <w:r w:rsidRPr="00057443">
        <w:rPr>
          <w:rtl/>
        </w:rPr>
        <w:fldChar w:fldCharType="separate"/>
      </w:r>
      <w:r w:rsidR="003F71DF">
        <w:rPr>
          <w:rtl/>
        </w:rPr>
        <w:t>13</w:t>
      </w:r>
      <w:r w:rsidRPr="00057443">
        <w:rPr>
          <w:rtl/>
        </w:rPr>
        <w:fldChar w:fldCharType="end"/>
      </w:r>
      <w:r>
        <w:rPr>
          <w:rFonts w:hint="cs"/>
          <w:rtl/>
        </w:rPr>
        <w:t xml:space="preserve"> לעיל.</w:t>
      </w:r>
    </w:p>
  </w:footnote>
  <w:footnote w:id="56">
    <w:p w14:paraId="4F3090F6" w14:textId="4209BC61" w:rsidR="006C3B31" w:rsidRPr="002161DF" w:rsidRDefault="006C3B31" w:rsidP="00C43F69">
      <w:pPr>
        <w:pStyle w:val="FootnoteText"/>
        <w:spacing w:after="120"/>
        <w:jc w:val="both"/>
        <w:rPr>
          <w:rtl/>
        </w:rPr>
      </w:pPr>
      <w:r>
        <w:rPr>
          <w:rStyle w:val="FootnoteReference"/>
        </w:rPr>
        <w:footnoteRef/>
      </w:r>
      <w:r>
        <w:rPr>
          <w:rtl/>
        </w:rPr>
        <w:t xml:space="preserve"> </w:t>
      </w:r>
      <w:r w:rsidR="007C5813">
        <w:rPr>
          <w:rFonts w:hint="cs"/>
          <w:rtl/>
        </w:rPr>
        <w:t xml:space="preserve">פס"ד </w:t>
      </w:r>
      <w:proofErr w:type="spellStart"/>
      <w:r w:rsidR="007C5813">
        <w:rPr>
          <w:rFonts w:hint="cs"/>
          <w:b/>
          <w:bCs/>
          <w:rtl/>
        </w:rPr>
        <w:t>הולנדיה</w:t>
      </w:r>
      <w:proofErr w:type="spellEnd"/>
      <w:r w:rsidR="007C5813">
        <w:rPr>
          <w:rFonts w:hint="cs"/>
          <w:rtl/>
        </w:rPr>
        <w:t xml:space="preserve">, </w:t>
      </w:r>
      <w:proofErr w:type="spellStart"/>
      <w:r w:rsidR="007C5813">
        <w:rPr>
          <w:rFonts w:hint="cs"/>
          <w:rtl/>
        </w:rPr>
        <w:t>ה"ש</w:t>
      </w:r>
      <w:proofErr w:type="spellEnd"/>
      <w:r w:rsidR="007C5813">
        <w:rPr>
          <w:rFonts w:hint="cs"/>
          <w:rtl/>
        </w:rPr>
        <w:t xml:space="preserve"> </w:t>
      </w:r>
      <w:r w:rsidR="007C5813">
        <w:rPr>
          <w:rtl/>
        </w:rPr>
        <w:fldChar w:fldCharType="begin"/>
      </w:r>
      <w:r w:rsidR="007C5813">
        <w:rPr>
          <w:rtl/>
        </w:rPr>
        <w:instrText xml:space="preserve"> </w:instrText>
      </w:r>
      <w:r w:rsidR="007C5813">
        <w:rPr>
          <w:rFonts w:hint="cs"/>
        </w:rPr>
        <w:instrText>NOTEREF</w:instrText>
      </w:r>
      <w:r w:rsidR="007C5813">
        <w:rPr>
          <w:rFonts w:hint="cs"/>
          <w:rtl/>
        </w:rPr>
        <w:instrText xml:space="preserve"> _</w:instrText>
      </w:r>
      <w:r w:rsidR="007C5813">
        <w:rPr>
          <w:rFonts w:hint="cs"/>
        </w:rPr>
        <w:instrText>Ref508210656 \h</w:instrText>
      </w:r>
      <w:r w:rsidR="007C5813">
        <w:rPr>
          <w:rtl/>
        </w:rPr>
        <w:instrText xml:space="preserve"> </w:instrText>
      </w:r>
      <w:r w:rsidR="007C5813">
        <w:rPr>
          <w:rtl/>
        </w:rPr>
      </w:r>
      <w:r w:rsidR="007C5813">
        <w:rPr>
          <w:rtl/>
        </w:rPr>
        <w:fldChar w:fldCharType="separate"/>
      </w:r>
      <w:r w:rsidR="003F71DF">
        <w:rPr>
          <w:rtl/>
        </w:rPr>
        <w:t>23</w:t>
      </w:r>
      <w:r w:rsidR="007C5813">
        <w:rPr>
          <w:rtl/>
        </w:rPr>
        <w:fldChar w:fldCharType="end"/>
      </w:r>
      <w:r w:rsidR="007C5813">
        <w:rPr>
          <w:rFonts w:hint="cs"/>
          <w:rtl/>
        </w:rPr>
        <w:t xml:space="preserve"> לעיל, פס' 78; </w:t>
      </w:r>
      <w:r>
        <w:rPr>
          <w:rFonts w:hint="cs"/>
          <w:rtl/>
        </w:rPr>
        <w:t xml:space="preserve">החלטה בדבר מתן פטור להסדרים בין </w:t>
      </w:r>
      <w:proofErr w:type="spellStart"/>
      <w:r>
        <w:rPr>
          <w:rFonts w:hint="cs"/>
          <w:rtl/>
        </w:rPr>
        <w:t>עמינח</w:t>
      </w:r>
      <w:proofErr w:type="spellEnd"/>
      <w:r>
        <w:rPr>
          <w:rFonts w:hint="cs"/>
          <w:rtl/>
        </w:rPr>
        <w:t xml:space="preserve"> תעשיות רהיטים ומזרונים בע"מ לבין בעלי מקרקעין, 2010 </w:t>
      </w:r>
      <w:r>
        <w:rPr>
          <w:rFonts w:hint="cs"/>
          <w:b/>
          <w:bCs/>
          <w:rtl/>
        </w:rPr>
        <w:t>ההגבלים העסקיים</w:t>
      </w:r>
      <w:r>
        <w:rPr>
          <w:rFonts w:hint="cs"/>
          <w:rtl/>
        </w:rPr>
        <w:t xml:space="preserve"> 5001638, בעמ' 6; </w:t>
      </w:r>
      <w:proofErr w:type="spellStart"/>
      <w:r>
        <w:rPr>
          <w:b/>
          <w:bCs/>
        </w:rPr>
        <w:t>Verson</w:t>
      </w:r>
      <w:proofErr w:type="spellEnd"/>
      <w:r>
        <w:rPr>
          <w:b/>
          <w:bCs/>
        </w:rPr>
        <w:t xml:space="preserve"> Wilkins v. Allied Products Corp.</w:t>
      </w:r>
      <w:r>
        <w:t xml:space="preserve">, </w:t>
      </w:r>
      <w:proofErr w:type="gramStart"/>
      <w:r>
        <w:t xml:space="preserve">723 </w:t>
      </w:r>
      <w:proofErr w:type="spellStart"/>
      <w:r>
        <w:t>F.Supp</w:t>
      </w:r>
      <w:proofErr w:type="spellEnd"/>
      <w:proofErr w:type="gramEnd"/>
      <w:r>
        <w:t xml:space="preserve">. </w:t>
      </w:r>
      <w:proofErr w:type="gramStart"/>
      <w:r>
        <w:t>1 (N.D. Ill. 1989)</w:t>
      </w:r>
      <w:r>
        <w:rPr>
          <w:rFonts w:hint="cs"/>
          <w:rtl/>
        </w:rPr>
        <w:t>, בעמ'</w:t>
      </w:r>
      <w:r w:rsidR="00C43F69">
        <w:rPr>
          <w:rFonts w:hint="cs"/>
          <w:rtl/>
        </w:rPr>
        <w:t xml:space="preserve"> </w:t>
      </w:r>
      <w:r w:rsidR="00C43F69">
        <w:t>*10-*11</w:t>
      </w:r>
      <w:r>
        <w:rPr>
          <w:rFonts w:hint="cs"/>
          <w:rtl/>
        </w:rPr>
        <w:t xml:space="preserve">; פס"ד </w:t>
      </w:r>
      <w:r>
        <w:rPr>
          <w:b/>
          <w:bCs/>
        </w:rPr>
        <w:t>Metropole</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Ref508210785 \h</w:instrText>
      </w:r>
      <w:r>
        <w:rPr>
          <w:rtl/>
        </w:rPr>
        <w:instrText xml:space="preserve"> </w:instrText>
      </w:r>
      <w:r>
        <w:rPr>
          <w:rtl/>
        </w:rPr>
      </w:r>
      <w:r>
        <w:rPr>
          <w:rtl/>
        </w:rPr>
        <w:fldChar w:fldCharType="separate"/>
      </w:r>
      <w:r w:rsidR="003F71DF">
        <w:rPr>
          <w:rtl/>
        </w:rPr>
        <w:t>22</w:t>
      </w:r>
      <w:r>
        <w:rPr>
          <w:rtl/>
        </w:rPr>
        <w:fldChar w:fldCharType="end"/>
      </w:r>
      <w:r>
        <w:rPr>
          <w:rFonts w:hint="cs"/>
          <w:rtl/>
        </w:rPr>
        <w:t xml:space="preserve"> לעיל, פס' 124.</w:t>
      </w:r>
      <w:proofErr w:type="gramEnd"/>
    </w:p>
  </w:footnote>
  <w:footnote w:id="57">
    <w:p w14:paraId="279E48AA" w14:textId="51B669C6" w:rsidR="006C3B31" w:rsidRPr="002161DF" w:rsidRDefault="006C3B31" w:rsidP="002B25E9">
      <w:pPr>
        <w:pStyle w:val="FootnoteText"/>
        <w:spacing w:after="120"/>
        <w:jc w:val="both"/>
        <w:rPr>
          <w:rtl/>
        </w:rPr>
      </w:pPr>
      <w:r>
        <w:rPr>
          <w:rStyle w:val="FootnoteReference"/>
        </w:rPr>
        <w:footnoteRef/>
      </w:r>
      <w:r>
        <w:rPr>
          <w:rtl/>
        </w:rPr>
        <w:t xml:space="preserve"> </w:t>
      </w:r>
      <w:r>
        <w:rPr>
          <w:rFonts w:hint="cs"/>
          <w:rtl/>
        </w:rPr>
        <w:t xml:space="preserve">פס"ד </w:t>
      </w:r>
      <w:proofErr w:type="spellStart"/>
      <w:r>
        <w:rPr>
          <w:b/>
          <w:bCs/>
        </w:rPr>
        <w:t>Verson</w:t>
      </w:r>
      <w:proofErr w:type="spellEnd"/>
      <w:r>
        <w:rPr>
          <w:b/>
          <w:bCs/>
        </w:rPr>
        <w:t xml:space="preserve"> Wilkins</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Ref506818172 \h</w:instrText>
      </w:r>
      <w:r>
        <w:rPr>
          <w:rtl/>
        </w:rPr>
        <w:instrText xml:space="preserve">  \* </w:instrText>
      </w:r>
      <w:r>
        <w:instrText>MERGEFORMAT</w:instrText>
      </w:r>
      <w:r>
        <w:rPr>
          <w:rtl/>
        </w:rPr>
        <w:instrText xml:space="preserve"> </w:instrText>
      </w:r>
      <w:r>
        <w:rPr>
          <w:rtl/>
        </w:rPr>
      </w:r>
      <w:r>
        <w:rPr>
          <w:rtl/>
        </w:rPr>
        <w:fldChar w:fldCharType="separate"/>
      </w:r>
      <w:r w:rsidR="003F71DF">
        <w:rPr>
          <w:rtl/>
        </w:rPr>
        <w:t>56</w:t>
      </w:r>
      <w:r>
        <w:rPr>
          <w:rtl/>
        </w:rPr>
        <w:fldChar w:fldCharType="end"/>
      </w:r>
      <w:r>
        <w:rPr>
          <w:rFonts w:hint="cs"/>
          <w:rtl/>
        </w:rPr>
        <w:t xml:space="preserve"> לעיל, בעמ' </w:t>
      </w:r>
      <w:r w:rsidR="002B25E9">
        <w:t>*12-*13</w:t>
      </w:r>
      <w:r>
        <w:rPr>
          <w:rFonts w:hint="cs"/>
          <w:rtl/>
        </w:rPr>
        <w:t xml:space="preserve">; פס"ד </w:t>
      </w:r>
      <w:r>
        <w:rPr>
          <w:b/>
          <w:bCs/>
        </w:rPr>
        <w:t>Metropole</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Ref508210785 \h</w:instrText>
      </w:r>
      <w:r>
        <w:rPr>
          <w:rtl/>
        </w:rPr>
        <w:instrText xml:space="preserve"> </w:instrText>
      </w:r>
      <w:r>
        <w:rPr>
          <w:rtl/>
        </w:rPr>
      </w:r>
      <w:r>
        <w:rPr>
          <w:rtl/>
        </w:rPr>
        <w:fldChar w:fldCharType="separate"/>
      </w:r>
      <w:r w:rsidR="003F71DF">
        <w:rPr>
          <w:rtl/>
        </w:rPr>
        <w:t>22</w:t>
      </w:r>
      <w:r>
        <w:rPr>
          <w:rtl/>
        </w:rPr>
        <w:fldChar w:fldCharType="end"/>
      </w:r>
      <w:r>
        <w:rPr>
          <w:rFonts w:hint="cs"/>
          <w:rtl/>
        </w:rPr>
        <w:t xml:space="preserve"> לעיל, פס' 113.</w:t>
      </w:r>
    </w:p>
  </w:footnote>
  <w:footnote w:id="58">
    <w:p w14:paraId="4954171E" w14:textId="4E9C32F4" w:rsidR="006C3B31" w:rsidRPr="00057443" w:rsidRDefault="006C3B31" w:rsidP="00C43F69">
      <w:pPr>
        <w:pStyle w:val="FootnoteText"/>
        <w:spacing w:after="120"/>
        <w:jc w:val="both"/>
        <w:rPr>
          <w:b/>
          <w:bCs/>
          <w:rtl/>
        </w:rPr>
      </w:pPr>
      <w:r>
        <w:rPr>
          <w:rStyle w:val="FootnoteReference"/>
        </w:rPr>
        <w:footnoteRef/>
      </w:r>
      <w:r>
        <w:rPr>
          <w:rtl/>
        </w:rPr>
        <w:t xml:space="preserve"> </w:t>
      </w:r>
      <w:r>
        <w:rPr>
          <w:rFonts w:hint="cs"/>
          <w:rtl/>
        </w:rPr>
        <w:t xml:space="preserve">החלטת </w:t>
      </w:r>
      <w:proofErr w:type="spellStart"/>
      <w:r>
        <w:rPr>
          <w:rFonts w:hint="cs"/>
          <w:b/>
          <w:bCs/>
          <w:rtl/>
        </w:rPr>
        <w:t>עמינח</w:t>
      </w:r>
      <w:proofErr w:type="spellEnd"/>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Ref506818172 \h</w:instrText>
      </w:r>
      <w:r>
        <w:rPr>
          <w:rtl/>
        </w:rPr>
        <w:instrText xml:space="preserve">  \* </w:instrText>
      </w:r>
      <w:r>
        <w:instrText>MERGEFORMAT</w:instrText>
      </w:r>
      <w:r>
        <w:rPr>
          <w:rtl/>
        </w:rPr>
        <w:instrText xml:space="preserve"> </w:instrText>
      </w:r>
      <w:r>
        <w:rPr>
          <w:rtl/>
        </w:rPr>
      </w:r>
      <w:r>
        <w:rPr>
          <w:rtl/>
        </w:rPr>
        <w:fldChar w:fldCharType="separate"/>
      </w:r>
      <w:r w:rsidR="003F71DF">
        <w:rPr>
          <w:rtl/>
        </w:rPr>
        <w:t>56</w:t>
      </w:r>
      <w:r>
        <w:rPr>
          <w:rtl/>
        </w:rPr>
        <w:fldChar w:fldCharType="end"/>
      </w:r>
      <w:r>
        <w:rPr>
          <w:rFonts w:hint="cs"/>
          <w:rtl/>
        </w:rPr>
        <w:t xml:space="preserve"> לעיל, בעמ' 6; פס"ד </w:t>
      </w:r>
      <w:proofErr w:type="spellStart"/>
      <w:r>
        <w:rPr>
          <w:b/>
          <w:bCs/>
        </w:rPr>
        <w:t>Verson</w:t>
      </w:r>
      <w:proofErr w:type="spellEnd"/>
      <w:r>
        <w:rPr>
          <w:b/>
          <w:bCs/>
        </w:rPr>
        <w:t xml:space="preserve"> Wilkins</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Ref506818172 \h</w:instrText>
      </w:r>
      <w:r>
        <w:rPr>
          <w:rtl/>
        </w:rPr>
        <w:instrText xml:space="preserve">  \* </w:instrText>
      </w:r>
      <w:r>
        <w:instrText>MERGEFORMAT</w:instrText>
      </w:r>
      <w:r>
        <w:rPr>
          <w:rtl/>
        </w:rPr>
        <w:instrText xml:space="preserve"> </w:instrText>
      </w:r>
      <w:r>
        <w:rPr>
          <w:rtl/>
        </w:rPr>
      </w:r>
      <w:r>
        <w:rPr>
          <w:rtl/>
        </w:rPr>
        <w:fldChar w:fldCharType="separate"/>
      </w:r>
      <w:r w:rsidR="003F71DF">
        <w:rPr>
          <w:rtl/>
        </w:rPr>
        <w:t>56</w:t>
      </w:r>
      <w:r>
        <w:rPr>
          <w:rtl/>
        </w:rPr>
        <w:fldChar w:fldCharType="end"/>
      </w:r>
      <w:r>
        <w:rPr>
          <w:rFonts w:hint="cs"/>
          <w:rtl/>
        </w:rPr>
        <w:t xml:space="preserve"> לעיל, </w:t>
      </w:r>
      <w:r w:rsidR="00C43F69">
        <w:rPr>
          <w:rFonts w:hint="cs"/>
          <w:rtl/>
        </w:rPr>
        <w:t>ב</w:t>
      </w:r>
      <w:r>
        <w:rPr>
          <w:rFonts w:hint="cs"/>
          <w:rtl/>
        </w:rPr>
        <w:t>עמ'</w:t>
      </w:r>
      <w:r w:rsidR="00C43F69">
        <w:rPr>
          <w:rFonts w:hint="cs"/>
          <w:rtl/>
        </w:rPr>
        <w:t xml:space="preserve"> </w:t>
      </w:r>
      <w:r w:rsidR="00C43F69">
        <w:t>*11-*12</w:t>
      </w:r>
      <w:r>
        <w:rPr>
          <w:rFonts w:hint="cs"/>
          <w:rtl/>
        </w:rPr>
        <w:t xml:space="preserve">; פס"ד </w:t>
      </w:r>
      <w:r>
        <w:rPr>
          <w:b/>
          <w:bCs/>
        </w:rPr>
        <w:t>Metropole</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Ref508210785 \h</w:instrText>
      </w:r>
      <w:r>
        <w:rPr>
          <w:rtl/>
        </w:rPr>
        <w:instrText xml:space="preserve"> </w:instrText>
      </w:r>
      <w:r>
        <w:rPr>
          <w:rtl/>
        </w:rPr>
      </w:r>
      <w:r>
        <w:rPr>
          <w:rtl/>
        </w:rPr>
        <w:fldChar w:fldCharType="separate"/>
      </w:r>
      <w:r w:rsidR="003F71DF">
        <w:rPr>
          <w:rtl/>
        </w:rPr>
        <w:t>22</w:t>
      </w:r>
      <w:r>
        <w:rPr>
          <w:rtl/>
        </w:rPr>
        <w:fldChar w:fldCharType="end"/>
      </w:r>
      <w:r>
        <w:rPr>
          <w:rFonts w:hint="cs"/>
          <w:rtl/>
        </w:rPr>
        <w:t xml:space="preserve"> לעיל, פס' 125; עניין </w:t>
      </w:r>
      <w:r>
        <w:rPr>
          <w:b/>
          <w:bCs/>
        </w:rPr>
        <w:t>Polygram</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Ref506810153 \h</w:instrText>
      </w:r>
      <w:r>
        <w:rPr>
          <w:rtl/>
        </w:rPr>
        <w:instrText xml:space="preserve">  \* </w:instrText>
      </w:r>
      <w:r>
        <w:instrText>MERGEFORMAT</w:instrText>
      </w:r>
      <w:r>
        <w:rPr>
          <w:rtl/>
        </w:rPr>
        <w:instrText xml:space="preserve"> </w:instrText>
      </w:r>
      <w:r>
        <w:rPr>
          <w:rtl/>
        </w:rPr>
      </w:r>
      <w:r>
        <w:rPr>
          <w:rtl/>
        </w:rPr>
        <w:fldChar w:fldCharType="separate"/>
      </w:r>
      <w:r w:rsidR="003F71DF">
        <w:rPr>
          <w:rtl/>
        </w:rPr>
        <w:t>48</w:t>
      </w:r>
      <w:r>
        <w:rPr>
          <w:rtl/>
        </w:rPr>
        <w:fldChar w:fldCharType="end"/>
      </w:r>
      <w:r>
        <w:rPr>
          <w:rFonts w:hint="cs"/>
          <w:rtl/>
        </w:rPr>
        <w:t xml:space="preserve"> לעיל.</w:t>
      </w:r>
    </w:p>
  </w:footnote>
  <w:footnote w:id="59">
    <w:p w14:paraId="1A06B0D1" w14:textId="5FB637E1" w:rsidR="006C3B31" w:rsidRPr="003A02B8" w:rsidRDefault="006C3B31" w:rsidP="00BD62B3">
      <w:pPr>
        <w:pStyle w:val="FootnoteText"/>
        <w:spacing w:after="120"/>
        <w:jc w:val="both"/>
        <w:rPr>
          <w:rtl/>
        </w:rPr>
      </w:pPr>
      <w:r>
        <w:rPr>
          <w:rStyle w:val="FootnoteReference"/>
        </w:rPr>
        <w:footnoteRef/>
      </w:r>
      <w:r>
        <w:rPr>
          <w:rtl/>
        </w:rPr>
        <w:t xml:space="preserve"> </w:t>
      </w:r>
      <w:r>
        <w:rPr>
          <w:rFonts w:hint="cs"/>
          <w:rtl/>
        </w:rPr>
        <w:t xml:space="preserve">החלטה בדבר מתן פטור להסדר שבין קסטרו מודל בע"מ, </w:t>
      </w:r>
      <w:proofErr w:type="spellStart"/>
      <w:r>
        <w:rPr>
          <w:rFonts w:hint="cs"/>
          <w:rtl/>
        </w:rPr>
        <w:t>פאלו</w:t>
      </w:r>
      <w:proofErr w:type="spellEnd"/>
      <w:r>
        <w:rPr>
          <w:rFonts w:hint="cs"/>
          <w:rtl/>
        </w:rPr>
        <w:t xml:space="preserve"> </w:t>
      </w:r>
      <w:proofErr w:type="spellStart"/>
      <w:r>
        <w:rPr>
          <w:rFonts w:hint="cs"/>
          <w:rtl/>
        </w:rPr>
        <w:t>ריטייל</w:t>
      </w:r>
      <w:proofErr w:type="spellEnd"/>
      <w:r>
        <w:rPr>
          <w:rFonts w:hint="cs"/>
          <w:rtl/>
        </w:rPr>
        <w:t xml:space="preserve"> בע"מ וה"ה יוסף גביזון ואלי גבי, 2017 </w:t>
      </w:r>
      <w:r>
        <w:rPr>
          <w:rFonts w:hint="cs"/>
          <w:b/>
          <w:bCs/>
          <w:rtl/>
        </w:rPr>
        <w:t>ההגבלים העסקיים</w:t>
      </w:r>
      <w:r>
        <w:rPr>
          <w:rFonts w:hint="cs"/>
          <w:rtl/>
        </w:rPr>
        <w:t xml:space="preserve"> 501153, בעמ' 2. </w:t>
      </w:r>
    </w:p>
  </w:footnote>
  <w:footnote w:id="60">
    <w:p w14:paraId="77820CA7" w14:textId="5AED8BCA" w:rsidR="00C43F69" w:rsidRPr="00C43F69" w:rsidRDefault="00C43F69" w:rsidP="00FD1DB7">
      <w:pPr>
        <w:pStyle w:val="FootnoteText"/>
        <w:spacing w:after="120"/>
        <w:rPr>
          <w:rtl/>
        </w:rPr>
      </w:pPr>
      <w:r>
        <w:rPr>
          <w:rStyle w:val="FootnoteReference"/>
        </w:rPr>
        <w:footnoteRef/>
      </w:r>
      <w:r>
        <w:rPr>
          <w:rtl/>
        </w:rPr>
        <w:t xml:space="preserve"> </w:t>
      </w:r>
      <w:r>
        <w:rPr>
          <w:rFonts w:hint="cs"/>
          <w:rtl/>
        </w:rPr>
        <w:t xml:space="preserve">פס"ד </w:t>
      </w:r>
      <w:proofErr w:type="spellStart"/>
      <w:r>
        <w:rPr>
          <w:b/>
          <w:bCs/>
        </w:rPr>
        <w:t>Verson</w:t>
      </w:r>
      <w:proofErr w:type="spellEnd"/>
      <w:r>
        <w:rPr>
          <w:b/>
          <w:bCs/>
        </w:rPr>
        <w:t xml:space="preserve"> Wilkins</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Ref506818172 \h</w:instrText>
      </w:r>
      <w:r>
        <w:rPr>
          <w:rtl/>
        </w:rPr>
        <w:instrText xml:space="preserve"> </w:instrText>
      </w:r>
      <w:r>
        <w:rPr>
          <w:rtl/>
        </w:rPr>
      </w:r>
      <w:r>
        <w:rPr>
          <w:rtl/>
        </w:rPr>
        <w:fldChar w:fldCharType="separate"/>
      </w:r>
      <w:r w:rsidR="003F71DF">
        <w:rPr>
          <w:rtl/>
        </w:rPr>
        <w:t>56</w:t>
      </w:r>
      <w:r>
        <w:rPr>
          <w:rtl/>
        </w:rPr>
        <w:fldChar w:fldCharType="end"/>
      </w:r>
      <w:r>
        <w:rPr>
          <w:rFonts w:hint="cs"/>
          <w:rtl/>
        </w:rPr>
        <w:t xml:space="preserve"> לעיל, בעמ' </w:t>
      </w:r>
      <w:r>
        <w:t>*10-*1</w:t>
      </w:r>
      <w:r w:rsidR="00BA580D">
        <w:t>3</w:t>
      </w:r>
      <w:r w:rsidR="00B21786">
        <w:rPr>
          <w:rFonts w:hint="cs"/>
          <w:rtl/>
        </w:rPr>
        <w:t xml:space="preserve">; </w:t>
      </w:r>
      <w:r w:rsidR="00B21786" w:rsidRPr="008D4420">
        <w:t>Bork,</w:t>
      </w:r>
      <w:r w:rsidR="00B21786">
        <w:rPr>
          <w:b/>
          <w:bCs/>
        </w:rPr>
        <w:t xml:space="preserve"> </w:t>
      </w:r>
      <w:r w:rsidR="00B21786" w:rsidRPr="00BF063F">
        <w:t>Ancillary Restraints and the Sherman Act</w:t>
      </w:r>
      <w:r w:rsidR="00B21786">
        <w:rPr>
          <w:rFonts w:hint="cs"/>
          <w:rtl/>
        </w:rPr>
        <w:t xml:space="preserve">, </w:t>
      </w:r>
      <w:proofErr w:type="spellStart"/>
      <w:r w:rsidR="00B21786">
        <w:rPr>
          <w:rFonts w:hint="cs"/>
          <w:rtl/>
        </w:rPr>
        <w:t>ה"ש</w:t>
      </w:r>
      <w:proofErr w:type="spellEnd"/>
      <w:r w:rsidR="00B21786">
        <w:rPr>
          <w:rFonts w:hint="cs"/>
          <w:rtl/>
        </w:rPr>
        <w:t xml:space="preserve"> </w:t>
      </w:r>
      <w:r w:rsidR="00B21786">
        <w:rPr>
          <w:rtl/>
        </w:rPr>
        <w:fldChar w:fldCharType="begin"/>
      </w:r>
      <w:r w:rsidR="00B21786">
        <w:rPr>
          <w:rtl/>
        </w:rPr>
        <w:instrText xml:space="preserve"> </w:instrText>
      </w:r>
      <w:r w:rsidR="00B21786">
        <w:rPr>
          <w:rFonts w:hint="cs"/>
        </w:rPr>
        <w:instrText>NOTEREF</w:instrText>
      </w:r>
      <w:r w:rsidR="00B21786">
        <w:rPr>
          <w:rFonts w:hint="cs"/>
          <w:rtl/>
        </w:rPr>
        <w:instrText xml:space="preserve"> _</w:instrText>
      </w:r>
      <w:r w:rsidR="00B21786">
        <w:rPr>
          <w:rFonts w:hint="cs"/>
        </w:rPr>
        <w:instrText>Ref506921526 \h</w:instrText>
      </w:r>
      <w:r w:rsidR="00B21786">
        <w:rPr>
          <w:rtl/>
        </w:rPr>
        <w:instrText xml:space="preserve">  \* </w:instrText>
      </w:r>
      <w:r w:rsidR="00B21786">
        <w:instrText>MERGEFORMAT</w:instrText>
      </w:r>
      <w:r w:rsidR="00B21786">
        <w:rPr>
          <w:rtl/>
        </w:rPr>
        <w:instrText xml:space="preserve"> </w:instrText>
      </w:r>
      <w:r w:rsidR="00B21786">
        <w:rPr>
          <w:rtl/>
        </w:rPr>
      </w:r>
      <w:r w:rsidR="00B21786">
        <w:rPr>
          <w:rtl/>
        </w:rPr>
        <w:fldChar w:fldCharType="separate"/>
      </w:r>
      <w:r w:rsidR="003F71DF">
        <w:rPr>
          <w:rtl/>
        </w:rPr>
        <w:t>50</w:t>
      </w:r>
      <w:r w:rsidR="00B21786">
        <w:rPr>
          <w:rtl/>
        </w:rPr>
        <w:fldChar w:fldCharType="end"/>
      </w:r>
      <w:r w:rsidR="00B21786">
        <w:rPr>
          <w:rFonts w:hint="cs"/>
          <w:rtl/>
        </w:rPr>
        <w:t xml:space="preserve"> לעיל, בעמ' 221-223.</w:t>
      </w:r>
    </w:p>
  </w:footnote>
  <w:footnote w:id="61">
    <w:p w14:paraId="63C4E91D" w14:textId="13CC6E1A" w:rsidR="006C3B31" w:rsidRPr="00253DBB" w:rsidRDefault="006C3B31" w:rsidP="0091586F">
      <w:pPr>
        <w:pStyle w:val="FootnoteText"/>
        <w:spacing w:after="120"/>
        <w:jc w:val="both"/>
        <w:rPr>
          <w:rtl/>
        </w:rPr>
      </w:pPr>
      <w:r>
        <w:rPr>
          <w:rStyle w:val="FootnoteReference"/>
        </w:rPr>
        <w:footnoteRef/>
      </w:r>
      <w:r>
        <w:rPr>
          <w:rFonts w:hint="cs"/>
          <w:rtl/>
        </w:rPr>
        <w:t xml:space="preserve"> </w:t>
      </w:r>
      <w:r>
        <w:rPr>
          <w:rFonts w:hint="cs"/>
          <w:rtl/>
        </w:rPr>
        <w:t xml:space="preserve">החלטה בדבר אי-מתן פטור להסכם בין גת גבעת חיים לבין </w:t>
      </w:r>
      <w:proofErr w:type="spellStart"/>
      <w:r>
        <w:rPr>
          <w:rFonts w:hint="cs"/>
          <w:rtl/>
        </w:rPr>
        <w:t>גניר</w:t>
      </w:r>
      <w:proofErr w:type="spellEnd"/>
      <w:r>
        <w:rPr>
          <w:rFonts w:hint="cs"/>
          <w:rtl/>
        </w:rPr>
        <w:t xml:space="preserve"> (1992), 2003 </w:t>
      </w:r>
      <w:r>
        <w:rPr>
          <w:rFonts w:hint="cs"/>
          <w:b/>
          <w:bCs/>
          <w:rtl/>
        </w:rPr>
        <w:t>ההגבלים העסקיים</w:t>
      </w:r>
      <w:r>
        <w:rPr>
          <w:rFonts w:hint="cs"/>
          <w:rtl/>
        </w:rPr>
        <w:t xml:space="preserve"> 3018900, בעמ' 2;</w:t>
      </w:r>
      <w:r>
        <w:rPr>
          <w:rtl/>
        </w:rPr>
        <w:t xml:space="preserve"> </w:t>
      </w:r>
      <w:r>
        <w:rPr>
          <w:rFonts w:hint="cs"/>
          <w:rtl/>
        </w:rPr>
        <w:t xml:space="preserve">פס"ד </w:t>
      </w:r>
      <w:proofErr w:type="spellStart"/>
      <w:r>
        <w:rPr>
          <w:b/>
          <w:bCs/>
        </w:rPr>
        <w:t>Addyston</w:t>
      </w:r>
      <w:proofErr w:type="spellEnd"/>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Ref508208654 \h</w:instrText>
      </w:r>
      <w:r>
        <w:rPr>
          <w:rtl/>
        </w:rPr>
        <w:instrText xml:space="preserve"> </w:instrText>
      </w:r>
      <w:r>
        <w:rPr>
          <w:rtl/>
        </w:rPr>
      </w:r>
      <w:r>
        <w:rPr>
          <w:rtl/>
        </w:rPr>
        <w:fldChar w:fldCharType="separate"/>
      </w:r>
      <w:r w:rsidR="003F71DF">
        <w:rPr>
          <w:rtl/>
        </w:rPr>
        <w:t>34</w:t>
      </w:r>
      <w:r>
        <w:rPr>
          <w:rtl/>
        </w:rPr>
        <w:fldChar w:fldCharType="end"/>
      </w:r>
      <w:r>
        <w:rPr>
          <w:rFonts w:hint="cs"/>
          <w:rtl/>
        </w:rPr>
        <w:t xml:space="preserve"> לעיל, בעמ' 286; פס"ד </w:t>
      </w:r>
      <w:proofErr w:type="spellStart"/>
      <w:r>
        <w:rPr>
          <w:b/>
          <w:bCs/>
        </w:rPr>
        <w:t>Rothery</w:t>
      </w:r>
      <w:proofErr w:type="spellEnd"/>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Ref508210538 \h</w:instrText>
      </w:r>
      <w:r>
        <w:rPr>
          <w:rtl/>
        </w:rPr>
        <w:instrText xml:space="preserve"> </w:instrText>
      </w:r>
      <w:r>
        <w:rPr>
          <w:rtl/>
        </w:rPr>
      </w:r>
      <w:r>
        <w:rPr>
          <w:rtl/>
        </w:rPr>
        <w:fldChar w:fldCharType="separate"/>
      </w:r>
      <w:r w:rsidR="003F71DF">
        <w:rPr>
          <w:rtl/>
        </w:rPr>
        <w:t>21</w:t>
      </w:r>
      <w:r>
        <w:rPr>
          <w:rtl/>
        </w:rPr>
        <w:fldChar w:fldCharType="end"/>
      </w:r>
      <w:r>
        <w:rPr>
          <w:rFonts w:hint="cs"/>
          <w:rtl/>
        </w:rPr>
        <w:t xml:space="preserve"> לעיל, בעמ' 224; פס"ד </w:t>
      </w:r>
      <w:r>
        <w:rPr>
          <w:b/>
          <w:bCs/>
        </w:rPr>
        <w:t>Metropole</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Ref508210785 \h</w:instrText>
      </w:r>
      <w:r>
        <w:rPr>
          <w:rtl/>
        </w:rPr>
        <w:instrText xml:space="preserve"> </w:instrText>
      </w:r>
      <w:r>
        <w:rPr>
          <w:rtl/>
        </w:rPr>
      </w:r>
      <w:r>
        <w:rPr>
          <w:rtl/>
        </w:rPr>
        <w:fldChar w:fldCharType="separate"/>
      </w:r>
      <w:r w:rsidR="003F71DF">
        <w:rPr>
          <w:rtl/>
        </w:rPr>
        <w:t>22</w:t>
      </w:r>
      <w:r>
        <w:rPr>
          <w:rtl/>
        </w:rPr>
        <w:fldChar w:fldCharType="end"/>
      </w:r>
      <w:r>
        <w:rPr>
          <w:rFonts w:hint="cs"/>
          <w:rtl/>
        </w:rPr>
        <w:t xml:space="preserve"> לעיל, פס' 105</w:t>
      </w:r>
      <w:r w:rsidR="0091586F">
        <w:rPr>
          <w:rFonts w:hint="cs"/>
          <w:rtl/>
        </w:rPr>
        <w:t xml:space="preserve">; </w:t>
      </w:r>
      <w:r w:rsidR="0091586F">
        <w:t>Canadian Competitor Collaboration Guidelines</w:t>
      </w:r>
      <w:r w:rsidR="0091586F">
        <w:rPr>
          <w:rFonts w:hint="cs"/>
          <w:rtl/>
        </w:rPr>
        <w:t xml:space="preserve">, </w:t>
      </w:r>
      <w:proofErr w:type="spellStart"/>
      <w:r w:rsidR="0091586F">
        <w:rPr>
          <w:rFonts w:hint="cs"/>
          <w:rtl/>
        </w:rPr>
        <w:t>ה"ש</w:t>
      </w:r>
      <w:proofErr w:type="spellEnd"/>
      <w:r w:rsidR="0091586F">
        <w:rPr>
          <w:rFonts w:hint="cs"/>
          <w:rtl/>
        </w:rPr>
        <w:t xml:space="preserve"> </w:t>
      </w:r>
      <w:r w:rsidR="0091586F">
        <w:rPr>
          <w:rtl/>
        </w:rPr>
        <w:fldChar w:fldCharType="begin"/>
      </w:r>
      <w:r w:rsidR="0091586F">
        <w:rPr>
          <w:rtl/>
        </w:rPr>
        <w:instrText xml:space="preserve"> </w:instrText>
      </w:r>
      <w:r w:rsidR="0091586F">
        <w:rPr>
          <w:rFonts w:hint="cs"/>
        </w:rPr>
        <w:instrText>NOTEREF</w:instrText>
      </w:r>
      <w:r w:rsidR="0091586F">
        <w:rPr>
          <w:rFonts w:hint="cs"/>
          <w:rtl/>
        </w:rPr>
        <w:instrText xml:space="preserve"> _</w:instrText>
      </w:r>
      <w:r w:rsidR="0091586F">
        <w:rPr>
          <w:rFonts w:hint="cs"/>
        </w:rPr>
        <w:instrText>Ref508212460 \h</w:instrText>
      </w:r>
      <w:r w:rsidR="0091586F">
        <w:rPr>
          <w:rtl/>
        </w:rPr>
        <w:instrText xml:space="preserve"> </w:instrText>
      </w:r>
      <w:r w:rsidR="0091586F">
        <w:rPr>
          <w:rtl/>
        </w:rPr>
      </w:r>
      <w:r w:rsidR="0091586F">
        <w:rPr>
          <w:rtl/>
        </w:rPr>
        <w:fldChar w:fldCharType="separate"/>
      </w:r>
      <w:r w:rsidR="003F71DF">
        <w:rPr>
          <w:rtl/>
        </w:rPr>
        <w:t>28</w:t>
      </w:r>
      <w:r w:rsidR="0091586F">
        <w:rPr>
          <w:rtl/>
        </w:rPr>
        <w:fldChar w:fldCharType="end"/>
      </w:r>
      <w:r w:rsidR="0091586F">
        <w:rPr>
          <w:rFonts w:hint="cs"/>
          <w:rtl/>
        </w:rPr>
        <w:t xml:space="preserve"> לעיל, בעמ' 13-14.</w:t>
      </w:r>
      <w:r>
        <w:rPr>
          <w:rFonts w:hint="cs"/>
          <w:rtl/>
        </w:rPr>
        <w:t xml:space="preserve"> ראו גם את דברי יו"ר ועדת הכלכלה של הכנסת,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Ref508190643 \h</w:instrText>
      </w:r>
      <w:r>
        <w:rPr>
          <w:rtl/>
        </w:rPr>
        <w:instrText xml:space="preserve">  \* </w:instrText>
      </w:r>
      <w:r>
        <w:instrText>MERGEFORMAT</w:instrText>
      </w:r>
      <w:r>
        <w:rPr>
          <w:rtl/>
        </w:rPr>
        <w:instrText xml:space="preserve"> </w:instrText>
      </w:r>
      <w:r>
        <w:rPr>
          <w:rtl/>
        </w:rPr>
      </w:r>
      <w:r>
        <w:rPr>
          <w:rtl/>
        </w:rPr>
        <w:fldChar w:fldCharType="separate"/>
      </w:r>
      <w:r w:rsidR="003F71DF">
        <w:rPr>
          <w:rtl/>
        </w:rPr>
        <w:t>13</w:t>
      </w:r>
      <w:r>
        <w:rPr>
          <w:rtl/>
        </w:rPr>
        <w:fldChar w:fldCharType="end"/>
      </w:r>
      <w:r>
        <w:rPr>
          <w:rFonts w:hint="cs"/>
          <w:rtl/>
        </w:rPr>
        <w:t xml:space="preserve"> לעיל: </w:t>
      </w:r>
      <w:r>
        <w:rPr>
          <w:rFonts w:hint="cs"/>
          <w:b/>
          <w:bCs/>
          <w:rtl/>
        </w:rPr>
        <w:t xml:space="preserve">"הסכמים שהגבלת התחרות בהם היא </w:t>
      </w:r>
      <w:r>
        <w:rPr>
          <w:rFonts w:hint="cs"/>
          <w:b/>
          <w:bCs/>
          <w:u w:val="single"/>
          <w:rtl/>
        </w:rPr>
        <w:t>נגררת, טפלה</w:t>
      </w:r>
      <w:r>
        <w:rPr>
          <w:rFonts w:hint="cs"/>
          <w:b/>
          <w:bCs/>
          <w:rtl/>
        </w:rPr>
        <w:t xml:space="preserve"> להסדר לגיטימי ומועילה לעסקים ולתחרות"</w:t>
      </w:r>
      <w:r>
        <w:rPr>
          <w:rFonts w:hint="cs"/>
          <w:rtl/>
        </w:rPr>
        <w:t xml:space="preserve">.  </w:t>
      </w:r>
    </w:p>
  </w:footnote>
  <w:footnote w:id="62">
    <w:p w14:paraId="6D67DED4" w14:textId="7C3727F3" w:rsidR="006C3B31" w:rsidRPr="009A1F13" w:rsidRDefault="006C3B31" w:rsidP="00C92802">
      <w:pPr>
        <w:pStyle w:val="FootnoteText"/>
        <w:spacing w:after="120"/>
        <w:jc w:val="both"/>
        <w:rPr>
          <w:rtl/>
        </w:rPr>
      </w:pPr>
      <w:r>
        <w:rPr>
          <w:rStyle w:val="FootnoteReference"/>
        </w:rPr>
        <w:footnoteRef/>
      </w:r>
      <w:r>
        <w:rPr>
          <w:rtl/>
        </w:rPr>
        <w:t xml:space="preserve"> </w:t>
      </w:r>
      <w:r w:rsidR="002241D0">
        <w:rPr>
          <w:rFonts w:hint="cs"/>
          <w:rtl/>
        </w:rPr>
        <w:t xml:space="preserve">החלטה בעניין </w:t>
      </w:r>
      <w:proofErr w:type="spellStart"/>
      <w:r w:rsidR="002241D0">
        <w:t>Publicis</w:t>
      </w:r>
      <w:proofErr w:type="spellEnd"/>
      <w:r w:rsidR="002241D0">
        <w:t xml:space="preserve"> </w:t>
      </w:r>
      <w:proofErr w:type="spellStart"/>
      <w:r w:rsidR="002241D0">
        <w:t>Groupe</w:t>
      </w:r>
      <w:proofErr w:type="spellEnd"/>
      <w:r w:rsidR="002241D0">
        <w:rPr>
          <w:rFonts w:hint="cs"/>
          <w:rtl/>
        </w:rPr>
        <w:t xml:space="preserve">, </w:t>
      </w:r>
      <w:proofErr w:type="spellStart"/>
      <w:r w:rsidR="002241D0">
        <w:rPr>
          <w:rFonts w:hint="cs"/>
          <w:rtl/>
        </w:rPr>
        <w:t>ה"ש</w:t>
      </w:r>
      <w:proofErr w:type="spellEnd"/>
      <w:r w:rsidR="002241D0">
        <w:rPr>
          <w:rFonts w:hint="cs"/>
          <w:rtl/>
        </w:rPr>
        <w:t xml:space="preserve"> </w:t>
      </w:r>
      <w:r w:rsidR="002241D0">
        <w:rPr>
          <w:rtl/>
        </w:rPr>
        <w:fldChar w:fldCharType="begin"/>
      </w:r>
      <w:r w:rsidR="002241D0">
        <w:rPr>
          <w:rtl/>
        </w:rPr>
        <w:instrText xml:space="preserve"> </w:instrText>
      </w:r>
      <w:r w:rsidR="002241D0">
        <w:rPr>
          <w:rFonts w:hint="cs"/>
        </w:rPr>
        <w:instrText>NOTEREF</w:instrText>
      </w:r>
      <w:r w:rsidR="002241D0">
        <w:rPr>
          <w:rFonts w:hint="cs"/>
          <w:rtl/>
        </w:rPr>
        <w:instrText xml:space="preserve"> _</w:instrText>
      </w:r>
      <w:r w:rsidR="002241D0">
        <w:rPr>
          <w:rFonts w:hint="cs"/>
        </w:rPr>
        <w:instrText>Ref508034959 \h</w:instrText>
      </w:r>
      <w:r w:rsidR="002241D0">
        <w:rPr>
          <w:rtl/>
        </w:rPr>
        <w:instrText xml:space="preserve"> </w:instrText>
      </w:r>
      <w:r w:rsidR="002241D0">
        <w:rPr>
          <w:rtl/>
        </w:rPr>
      </w:r>
      <w:r w:rsidR="002241D0">
        <w:rPr>
          <w:rtl/>
        </w:rPr>
        <w:fldChar w:fldCharType="separate"/>
      </w:r>
      <w:r w:rsidR="003F71DF">
        <w:rPr>
          <w:rtl/>
        </w:rPr>
        <w:t>37</w:t>
      </w:r>
      <w:r w:rsidR="002241D0">
        <w:rPr>
          <w:rtl/>
        </w:rPr>
        <w:fldChar w:fldCharType="end"/>
      </w:r>
      <w:r w:rsidR="002241D0">
        <w:rPr>
          <w:rFonts w:hint="cs"/>
          <w:rtl/>
        </w:rPr>
        <w:t xml:space="preserve"> לעיל, עמ' 3; </w:t>
      </w:r>
      <w:r>
        <w:rPr>
          <w:rFonts w:hint="cs"/>
          <w:rtl/>
        </w:rPr>
        <w:t>החלטה בעניין אי-מתן פטור להסדר כובל בין מפעל הפיס לבין האגודה למען החייל,</w:t>
      </w:r>
      <w:r w:rsidR="00C92802">
        <w:rPr>
          <w:rFonts w:hint="cs"/>
          <w:rtl/>
        </w:rPr>
        <w:t xml:space="preserve"> </w:t>
      </w:r>
      <w:proofErr w:type="spellStart"/>
      <w:r w:rsidR="00C92802">
        <w:rPr>
          <w:rFonts w:hint="cs"/>
          <w:rtl/>
        </w:rPr>
        <w:t>ה"ש</w:t>
      </w:r>
      <w:proofErr w:type="spellEnd"/>
      <w:r w:rsidR="00C92802">
        <w:rPr>
          <w:rFonts w:hint="cs"/>
          <w:rtl/>
        </w:rPr>
        <w:t xml:space="preserve"> </w:t>
      </w:r>
      <w:r w:rsidR="00C92802">
        <w:rPr>
          <w:rtl/>
        </w:rPr>
        <w:fldChar w:fldCharType="begin"/>
      </w:r>
      <w:r w:rsidR="00C92802">
        <w:rPr>
          <w:rtl/>
        </w:rPr>
        <w:instrText xml:space="preserve"> </w:instrText>
      </w:r>
      <w:r w:rsidR="00C92802">
        <w:rPr>
          <w:rFonts w:hint="cs"/>
        </w:rPr>
        <w:instrText>NOTEREF</w:instrText>
      </w:r>
      <w:r w:rsidR="00C92802">
        <w:rPr>
          <w:rFonts w:hint="cs"/>
          <w:rtl/>
        </w:rPr>
        <w:instrText xml:space="preserve"> _</w:instrText>
      </w:r>
      <w:r w:rsidR="00C92802">
        <w:rPr>
          <w:rFonts w:hint="cs"/>
        </w:rPr>
        <w:instrText>Ref508193567 \h</w:instrText>
      </w:r>
      <w:r w:rsidR="00C92802">
        <w:rPr>
          <w:rtl/>
        </w:rPr>
        <w:instrText xml:space="preserve"> </w:instrText>
      </w:r>
      <w:r w:rsidR="00C92802">
        <w:rPr>
          <w:rtl/>
        </w:rPr>
      </w:r>
      <w:r w:rsidR="00C92802">
        <w:rPr>
          <w:rtl/>
        </w:rPr>
        <w:fldChar w:fldCharType="separate"/>
      </w:r>
      <w:r w:rsidR="003F71DF">
        <w:rPr>
          <w:rtl/>
        </w:rPr>
        <w:t>10</w:t>
      </w:r>
      <w:r w:rsidR="00C92802">
        <w:rPr>
          <w:rtl/>
        </w:rPr>
        <w:fldChar w:fldCharType="end"/>
      </w:r>
      <w:r w:rsidR="00C92802">
        <w:rPr>
          <w:rFonts w:hint="cs"/>
          <w:rtl/>
        </w:rPr>
        <w:t xml:space="preserve"> לעיל</w:t>
      </w:r>
      <w:r>
        <w:rPr>
          <w:rFonts w:hint="cs"/>
          <w:rtl/>
        </w:rPr>
        <w:t xml:space="preserve"> , בעמ' 5; החלטה בעניין אי-מתן פטור להסדר בין שירותי בראיות כללית ואח', 2013 </w:t>
      </w:r>
      <w:r>
        <w:rPr>
          <w:rFonts w:hint="cs"/>
          <w:b/>
          <w:bCs/>
          <w:rtl/>
        </w:rPr>
        <w:t>ההגבלים העסקיים</w:t>
      </w:r>
      <w:r>
        <w:rPr>
          <w:rFonts w:hint="cs"/>
          <w:rtl/>
        </w:rPr>
        <w:t xml:space="preserve"> 500325 בעמ' 3-4</w:t>
      </w:r>
      <w:r w:rsidR="0008001D">
        <w:rPr>
          <w:rFonts w:hint="cs"/>
          <w:rtl/>
        </w:rPr>
        <w:t xml:space="preserve">; ת"פ 209/96 </w:t>
      </w:r>
      <w:r w:rsidR="0008001D">
        <w:rPr>
          <w:rFonts w:hint="cs"/>
          <w:b/>
          <w:bCs/>
          <w:rtl/>
        </w:rPr>
        <w:t xml:space="preserve">מ.י. נ' </w:t>
      </w:r>
      <w:proofErr w:type="spellStart"/>
      <w:r w:rsidR="0008001D">
        <w:rPr>
          <w:rFonts w:hint="cs"/>
          <w:b/>
          <w:bCs/>
          <w:rtl/>
        </w:rPr>
        <w:t>אהליך</w:t>
      </w:r>
      <w:proofErr w:type="spellEnd"/>
      <w:r w:rsidR="0008001D">
        <w:rPr>
          <w:rFonts w:hint="cs"/>
          <w:b/>
          <w:bCs/>
          <w:rtl/>
        </w:rPr>
        <w:t xml:space="preserve"> יעקב</w:t>
      </w:r>
      <w:r w:rsidR="0008001D">
        <w:rPr>
          <w:rFonts w:hint="cs"/>
          <w:rtl/>
        </w:rPr>
        <w:t xml:space="preserve"> (נבו, הכרעת-דין 4.8.02, פס' 6, 16, 25, 32; גזר-דין 17.12.02 פס' 2, 5);</w:t>
      </w:r>
      <w:r>
        <w:rPr>
          <w:rFonts w:hint="cs"/>
          <w:rtl/>
        </w:rPr>
        <w:t xml:space="preserve"> </w:t>
      </w:r>
      <w:r w:rsidR="00A30E85">
        <w:rPr>
          <w:rFonts w:hint="cs"/>
          <w:rtl/>
        </w:rPr>
        <w:t xml:space="preserve">כן ראו </w:t>
      </w:r>
      <w:r w:rsidR="00A30E85">
        <w:t xml:space="preserve">Bork, </w:t>
      </w:r>
      <w:r w:rsidR="00A30E85">
        <w:rPr>
          <w:b/>
          <w:bCs/>
        </w:rPr>
        <w:t>The Antitrust Paradox</w:t>
      </w:r>
      <w:r w:rsidR="00A30E85">
        <w:rPr>
          <w:rFonts w:hint="cs"/>
          <w:rtl/>
        </w:rPr>
        <w:t xml:space="preserve">, </w:t>
      </w:r>
      <w:proofErr w:type="spellStart"/>
      <w:r w:rsidR="00A30E85">
        <w:rPr>
          <w:rFonts w:hint="cs"/>
          <w:rtl/>
        </w:rPr>
        <w:t>ה"ש</w:t>
      </w:r>
      <w:proofErr w:type="spellEnd"/>
      <w:r w:rsidR="00A30E85">
        <w:rPr>
          <w:rFonts w:hint="cs"/>
          <w:rtl/>
        </w:rPr>
        <w:t xml:space="preserve"> </w:t>
      </w:r>
      <w:r w:rsidR="00A30E85">
        <w:rPr>
          <w:rtl/>
        </w:rPr>
        <w:fldChar w:fldCharType="begin"/>
      </w:r>
      <w:r w:rsidR="00A30E85">
        <w:rPr>
          <w:rtl/>
        </w:rPr>
        <w:instrText xml:space="preserve"> </w:instrText>
      </w:r>
      <w:r w:rsidR="00A30E85">
        <w:rPr>
          <w:rFonts w:hint="cs"/>
        </w:rPr>
        <w:instrText>NOTEREF</w:instrText>
      </w:r>
      <w:r w:rsidR="00A30E85">
        <w:rPr>
          <w:rFonts w:hint="cs"/>
          <w:rtl/>
        </w:rPr>
        <w:instrText xml:space="preserve"> _</w:instrText>
      </w:r>
      <w:r w:rsidR="00A30E85">
        <w:rPr>
          <w:rFonts w:hint="cs"/>
        </w:rPr>
        <w:instrText>Ref508210900 \h</w:instrText>
      </w:r>
      <w:r w:rsidR="00A30E85">
        <w:rPr>
          <w:rtl/>
        </w:rPr>
        <w:instrText xml:space="preserve"> </w:instrText>
      </w:r>
      <w:r w:rsidR="00A30E85">
        <w:rPr>
          <w:rtl/>
        </w:rPr>
      </w:r>
      <w:r w:rsidR="00A30E85">
        <w:rPr>
          <w:rtl/>
        </w:rPr>
        <w:fldChar w:fldCharType="separate"/>
      </w:r>
      <w:r w:rsidR="003F71DF">
        <w:rPr>
          <w:rtl/>
        </w:rPr>
        <w:t>27</w:t>
      </w:r>
      <w:r w:rsidR="00A30E85">
        <w:rPr>
          <w:rtl/>
        </w:rPr>
        <w:fldChar w:fldCharType="end"/>
      </w:r>
      <w:r w:rsidR="00A30E85">
        <w:rPr>
          <w:rFonts w:hint="cs"/>
          <w:rtl/>
        </w:rPr>
        <w:t xml:space="preserve"> לעיל, בעמ' 268.</w:t>
      </w:r>
    </w:p>
  </w:footnote>
  <w:footnote w:id="63">
    <w:p w14:paraId="193EBBDF" w14:textId="2A0CBFAD" w:rsidR="006C3B31" w:rsidRPr="00A30DAD" w:rsidRDefault="006C3B31" w:rsidP="00BD62B3">
      <w:pPr>
        <w:pStyle w:val="FootnoteText"/>
        <w:spacing w:after="120"/>
        <w:jc w:val="both"/>
        <w:rPr>
          <w:rtl/>
        </w:rPr>
      </w:pPr>
      <w:r>
        <w:rPr>
          <w:rStyle w:val="FootnoteReference"/>
        </w:rPr>
        <w:footnoteRef/>
      </w:r>
      <w:r>
        <w:rPr>
          <w:rFonts w:hint="cs"/>
          <w:rtl/>
        </w:rPr>
        <w:t xml:space="preserve"> </w:t>
      </w:r>
      <w:r>
        <w:rPr>
          <w:rFonts w:hint="cs"/>
          <w:rtl/>
        </w:rPr>
        <w:t>ראו לדוגמה כללי ההגבלים העסקיים (פטור סוג למיזמים משותפים) (הוראת שעה), תשס"ו-2006, סע' 2(ב)(8);</w:t>
      </w:r>
      <w:r>
        <w:rPr>
          <w:rtl/>
        </w:rPr>
        <w:t xml:space="preserve"> </w:t>
      </w:r>
      <w:r w:rsidRPr="008D4420">
        <w:t>Bork,</w:t>
      </w:r>
      <w:r>
        <w:rPr>
          <w:b/>
          <w:bCs/>
        </w:rPr>
        <w:t xml:space="preserve"> </w:t>
      </w:r>
      <w:r w:rsidRPr="00AF108D">
        <w:t>Ancillary Restraints and the Sherman Act</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Ref506921526 \h</w:instrText>
      </w:r>
      <w:r>
        <w:rPr>
          <w:rtl/>
        </w:rPr>
        <w:instrText xml:space="preserve">  \* </w:instrText>
      </w:r>
      <w:r>
        <w:instrText>MERGEFORMAT</w:instrText>
      </w:r>
      <w:r>
        <w:rPr>
          <w:rtl/>
        </w:rPr>
        <w:instrText xml:space="preserve"> </w:instrText>
      </w:r>
      <w:r>
        <w:rPr>
          <w:rtl/>
        </w:rPr>
      </w:r>
      <w:r>
        <w:rPr>
          <w:rtl/>
        </w:rPr>
        <w:fldChar w:fldCharType="separate"/>
      </w:r>
      <w:r w:rsidR="003F71DF">
        <w:rPr>
          <w:rtl/>
        </w:rPr>
        <w:t>50</w:t>
      </w:r>
      <w:r>
        <w:rPr>
          <w:rtl/>
        </w:rPr>
        <w:fldChar w:fldCharType="end"/>
      </w:r>
      <w:r>
        <w:rPr>
          <w:rFonts w:hint="cs"/>
          <w:rtl/>
        </w:rPr>
        <w:t xml:space="preserve"> לעיל, בעמ' 227-228.</w:t>
      </w:r>
    </w:p>
  </w:footnote>
  <w:footnote w:id="64">
    <w:p w14:paraId="3395A894" w14:textId="50A3BC97" w:rsidR="006C3B31" w:rsidRPr="00955527" w:rsidRDefault="006C3B31" w:rsidP="00BD62B3">
      <w:pPr>
        <w:pStyle w:val="FootnoteText"/>
        <w:spacing w:after="120"/>
        <w:jc w:val="both"/>
        <w:rPr>
          <w:rtl/>
        </w:rPr>
      </w:pPr>
      <w:r>
        <w:t xml:space="preserve"> </w:t>
      </w:r>
      <w:r>
        <w:rPr>
          <w:rStyle w:val="FootnoteReference"/>
        </w:rPr>
        <w:footnoteRef/>
      </w:r>
      <w:r>
        <w:rPr>
          <w:rtl/>
        </w:rPr>
        <w:t xml:space="preserve"> </w:t>
      </w:r>
      <w:r>
        <w:rPr>
          <w:rFonts w:hint="cs"/>
          <w:rtl/>
        </w:rPr>
        <w:t xml:space="preserve">דנ"א 4465/98 </w:t>
      </w:r>
      <w:r>
        <w:rPr>
          <w:rFonts w:hint="cs"/>
          <w:b/>
          <w:bCs/>
          <w:rtl/>
        </w:rPr>
        <w:t>טבעול נ' שף הים</w:t>
      </w:r>
      <w:r>
        <w:rPr>
          <w:rFonts w:hint="cs"/>
          <w:rtl/>
        </w:rPr>
        <w:t>, פ"ד נו(1) 56, בעמ' 65, 102, אשר מפנה ל-</w:t>
      </w:r>
      <w:r>
        <w:rPr>
          <w:b/>
          <w:bCs/>
        </w:rPr>
        <w:t>Blackburn v. Sweeney</w:t>
      </w:r>
      <w:r>
        <w:t>, 53 F.3d 825 (7</w:t>
      </w:r>
      <w:r w:rsidRPr="00E57512">
        <w:rPr>
          <w:vertAlign w:val="superscript"/>
        </w:rPr>
        <w:t>th</w:t>
      </w:r>
      <w:r>
        <w:t xml:space="preserve"> Cir. 1995</w:t>
      </w:r>
      <w:proofErr w:type="gramStart"/>
      <w:r>
        <w:t xml:space="preserve">)  </w:t>
      </w:r>
      <w:r>
        <w:rPr>
          <w:rFonts w:hint="cs"/>
          <w:rtl/>
        </w:rPr>
        <w:t>,</w:t>
      </w:r>
      <w:proofErr w:type="gramEnd"/>
      <w:r>
        <w:rPr>
          <w:rFonts w:hint="cs"/>
          <w:rtl/>
        </w:rPr>
        <w:t xml:space="preserve"> בעמ' 828 (</w:t>
      </w:r>
      <w:proofErr w:type="spellStart"/>
      <w:r>
        <w:rPr>
          <w:rFonts w:hint="cs"/>
          <w:rtl/>
        </w:rPr>
        <w:t>תניית</w:t>
      </w:r>
      <w:proofErr w:type="spellEnd"/>
      <w:r>
        <w:rPr>
          <w:rFonts w:hint="cs"/>
          <w:rtl/>
        </w:rPr>
        <w:t xml:space="preserve"> האי-תחרות נעשתה בשלב מאוחר של תהליך פירוק השותפות; נדחתה הטענה שהיא כבילה נלווית). השוו </w:t>
      </w:r>
      <w:proofErr w:type="spellStart"/>
      <w:r>
        <w:rPr>
          <w:rFonts w:hint="cs"/>
          <w:rtl/>
        </w:rPr>
        <w:t>להפ"ב</w:t>
      </w:r>
      <w:proofErr w:type="spellEnd"/>
      <w:r>
        <w:rPr>
          <w:rFonts w:hint="cs"/>
          <w:rtl/>
        </w:rPr>
        <w:t xml:space="preserve"> (מרכז) 34150-09-14 </w:t>
      </w:r>
      <w:r>
        <w:rPr>
          <w:rFonts w:hint="cs"/>
          <w:b/>
          <w:bCs/>
          <w:rtl/>
        </w:rPr>
        <w:t>רובין נ' לוז</w:t>
      </w:r>
      <w:r>
        <w:rPr>
          <w:rFonts w:hint="cs"/>
          <w:rtl/>
        </w:rPr>
        <w:t xml:space="preserve"> (נבו, 12.2.15) (</w:t>
      </w:r>
      <w:proofErr w:type="spellStart"/>
      <w:r>
        <w:rPr>
          <w:rFonts w:hint="cs"/>
          <w:rtl/>
        </w:rPr>
        <w:t>תניית</w:t>
      </w:r>
      <w:proofErr w:type="spellEnd"/>
      <w:r>
        <w:rPr>
          <w:rFonts w:hint="cs"/>
          <w:rtl/>
        </w:rPr>
        <w:t xml:space="preserve"> האי-תחרות נכללה בהסכם השותפות; </w:t>
      </w:r>
      <w:proofErr w:type="spellStart"/>
      <w:r>
        <w:rPr>
          <w:rFonts w:hint="cs"/>
          <w:rtl/>
        </w:rPr>
        <w:t>התנייה</w:t>
      </w:r>
      <w:proofErr w:type="spellEnd"/>
      <w:r>
        <w:rPr>
          <w:rFonts w:hint="cs"/>
          <w:rtl/>
        </w:rPr>
        <w:t xml:space="preserve"> נאכפה). </w:t>
      </w:r>
    </w:p>
  </w:footnote>
  <w:footnote w:id="65">
    <w:p w14:paraId="0F7103EB" w14:textId="77777777" w:rsidR="006C3B31" w:rsidRPr="00EC3533" w:rsidRDefault="006C3B31" w:rsidP="00BD62B3">
      <w:pPr>
        <w:pStyle w:val="FootnoteText"/>
        <w:spacing w:after="120"/>
        <w:jc w:val="both"/>
      </w:pPr>
      <w:r>
        <w:rPr>
          <w:rStyle w:val="FootnoteReference"/>
        </w:rPr>
        <w:footnoteRef/>
      </w:r>
      <w:r>
        <w:rPr>
          <w:rtl/>
        </w:rPr>
        <w:t xml:space="preserve"> </w:t>
      </w:r>
      <w:r>
        <w:rPr>
          <w:rFonts w:hint="cs"/>
          <w:rtl/>
        </w:rPr>
        <w:t xml:space="preserve">ראו ת"א (ראשל"צ) 25699-07-12 </w:t>
      </w:r>
      <w:r>
        <w:rPr>
          <w:rFonts w:hint="cs"/>
          <w:b/>
          <w:bCs/>
          <w:rtl/>
        </w:rPr>
        <w:t>חלפון נ' אבו רביעה</w:t>
      </w:r>
      <w:r>
        <w:rPr>
          <w:rFonts w:hint="cs"/>
          <w:rtl/>
        </w:rPr>
        <w:t xml:space="preserve"> (נבו, 4.9.16), פס' 5, 67-70.</w:t>
      </w:r>
    </w:p>
  </w:footnote>
  <w:footnote w:id="66">
    <w:p w14:paraId="7DB01327" w14:textId="25503183" w:rsidR="006C3B31" w:rsidRPr="00B2434F" w:rsidRDefault="006C3B31" w:rsidP="00BD62B3">
      <w:pPr>
        <w:pStyle w:val="FootnoteText"/>
        <w:spacing w:after="120"/>
        <w:jc w:val="both"/>
      </w:pPr>
      <w:r>
        <w:rPr>
          <w:rStyle w:val="FootnoteReference"/>
        </w:rPr>
        <w:footnoteRef/>
      </w:r>
      <w:r>
        <w:rPr>
          <w:rtl/>
        </w:rPr>
        <w:t xml:space="preserve"> </w:t>
      </w:r>
      <w:r>
        <w:rPr>
          <w:rFonts w:hint="cs"/>
          <w:rtl/>
        </w:rPr>
        <w:t>פס"ד</w:t>
      </w:r>
      <w:r>
        <w:rPr>
          <w:rFonts w:hint="cs"/>
          <w:b/>
          <w:bCs/>
          <w:rtl/>
        </w:rPr>
        <w:t xml:space="preserve"> טבעול</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Ref506820208 \h</w:instrText>
      </w:r>
      <w:r>
        <w:rPr>
          <w:rtl/>
        </w:rPr>
        <w:instrText xml:space="preserve">  \* </w:instrText>
      </w:r>
      <w:r>
        <w:instrText>MERGEFORMAT</w:instrText>
      </w:r>
      <w:r>
        <w:rPr>
          <w:rtl/>
        </w:rPr>
        <w:instrText xml:space="preserve"> </w:instrText>
      </w:r>
      <w:r>
        <w:rPr>
          <w:rtl/>
        </w:rPr>
      </w:r>
      <w:r>
        <w:rPr>
          <w:rtl/>
        </w:rPr>
        <w:fldChar w:fldCharType="separate"/>
      </w:r>
      <w:r w:rsidR="003F71DF">
        <w:rPr>
          <w:rtl/>
        </w:rPr>
        <w:t>64</w:t>
      </w:r>
      <w:r>
        <w:rPr>
          <w:rtl/>
        </w:rPr>
        <w:fldChar w:fldCharType="end"/>
      </w:r>
      <w:r>
        <w:rPr>
          <w:rFonts w:hint="cs"/>
          <w:rtl/>
        </w:rPr>
        <w:t xml:space="preserve"> לעיל, בעמ' 98-102. </w:t>
      </w:r>
    </w:p>
  </w:footnote>
  <w:footnote w:id="67">
    <w:p w14:paraId="66DBB5A1" w14:textId="537861DD" w:rsidR="006C3B31" w:rsidRPr="005724CE" w:rsidRDefault="006C3B31" w:rsidP="00BD62B3">
      <w:pPr>
        <w:pStyle w:val="FootnoteText"/>
        <w:spacing w:after="120"/>
        <w:jc w:val="both"/>
        <w:rPr>
          <w:rtl/>
        </w:rPr>
      </w:pPr>
      <w:r>
        <w:rPr>
          <w:rStyle w:val="FootnoteReference"/>
        </w:rPr>
        <w:footnoteRef/>
      </w:r>
      <w:r>
        <w:rPr>
          <w:rFonts w:hint="cs"/>
          <w:rtl/>
        </w:rPr>
        <w:t xml:space="preserve"> </w:t>
      </w:r>
      <w:r>
        <w:rPr>
          <w:rFonts w:hint="cs"/>
          <w:rtl/>
        </w:rPr>
        <w:t xml:space="preserve">ראה פס"ד </w:t>
      </w:r>
      <w:r>
        <w:rPr>
          <w:rFonts w:hint="cs"/>
          <w:b/>
          <w:bCs/>
          <w:rtl/>
        </w:rPr>
        <w:t>טבעול</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Ref506820208 \h</w:instrText>
      </w:r>
      <w:r>
        <w:rPr>
          <w:rtl/>
        </w:rPr>
        <w:instrText xml:space="preserve">  \* </w:instrText>
      </w:r>
      <w:r>
        <w:instrText>MERGEFORMAT</w:instrText>
      </w:r>
      <w:r>
        <w:rPr>
          <w:rtl/>
        </w:rPr>
        <w:instrText xml:space="preserve"> </w:instrText>
      </w:r>
      <w:r>
        <w:rPr>
          <w:rtl/>
        </w:rPr>
      </w:r>
      <w:r>
        <w:rPr>
          <w:rtl/>
        </w:rPr>
        <w:fldChar w:fldCharType="separate"/>
      </w:r>
      <w:r w:rsidR="003F71DF">
        <w:rPr>
          <w:rtl/>
        </w:rPr>
        <w:t>64</w:t>
      </w:r>
      <w:r>
        <w:rPr>
          <w:rtl/>
        </w:rPr>
        <w:fldChar w:fldCharType="end"/>
      </w:r>
      <w:r>
        <w:rPr>
          <w:rFonts w:hint="cs"/>
          <w:rtl/>
        </w:rPr>
        <w:t xml:space="preserve"> לעיל, בעמ' 99-100; כללי ההגבלים העסקיים (פטור סוג לכבילות נלוות למיזוגים), תשס"ט-2009, סע' 3(1); </w:t>
      </w:r>
      <w:r>
        <w:rPr>
          <w:b/>
          <w:bCs/>
        </w:rPr>
        <w:t xml:space="preserve">Perception, Inc. </w:t>
      </w:r>
      <w:proofErr w:type="gramStart"/>
      <w:r>
        <w:rPr>
          <w:b/>
          <w:bCs/>
        </w:rPr>
        <w:t>v. Sensor</w:t>
      </w:r>
      <w:proofErr w:type="gramEnd"/>
      <w:r>
        <w:rPr>
          <w:b/>
          <w:bCs/>
        </w:rPr>
        <w:t xml:space="preserve"> Adaptive Machines Inc.</w:t>
      </w:r>
      <w:r>
        <w:t>, 221 F.3d 913 (6</w:t>
      </w:r>
      <w:r w:rsidRPr="002250A7">
        <w:rPr>
          <w:vertAlign w:val="superscript"/>
        </w:rPr>
        <w:t>th</w:t>
      </w:r>
      <w:r>
        <w:t xml:space="preserve"> Cir. 2000)</w:t>
      </w:r>
      <w:r>
        <w:rPr>
          <w:rFonts w:hint="cs"/>
          <w:rtl/>
        </w:rPr>
        <w:t xml:space="preserve"> בעמ' 919-920; </w:t>
      </w:r>
      <w:proofErr w:type="spellStart"/>
      <w:r>
        <w:rPr>
          <w:b/>
          <w:bCs/>
        </w:rPr>
        <w:t>Lektro</w:t>
      </w:r>
      <w:proofErr w:type="spellEnd"/>
      <w:r>
        <w:rPr>
          <w:b/>
          <w:bCs/>
        </w:rPr>
        <w:t xml:space="preserve">-Vend Corp. v. </w:t>
      </w:r>
      <w:proofErr w:type="gramStart"/>
      <w:r>
        <w:rPr>
          <w:b/>
          <w:bCs/>
        </w:rPr>
        <w:t xml:space="preserve">The </w:t>
      </w:r>
      <w:proofErr w:type="spellStart"/>
      <w:r>
        <w:rPr>
          <w:b/>
          <w:bCs/>
        </w:rPr>
        <w:t>Vendo</w:t>
      </w:r>
      <w:proofErr w:type="spellEnd"/>
      <w:r>
        <w:rPr>
          <w:b/>
          <w:bCs/>
        </w:rPr>
        <w:t xml:space="preserve"> Company</w:t>
      </w:r>
      <w:r>
        <w:t>, 660 F.2d 255 (7</w:t>
      </w:r>
      <w:r w:rsidRPr="002250A7">
        <w:rPr>
          <w:vertAlign w:val="superscript"/>
        </w:rPr>
        <w:t>th</w:t>
      </w:r>
      <w:r>
        <w:t xml:space="preserve"> Cir. 1981)</w:t>
      </w:r>
      <w:r>
        <w:rPr>
          <w:rtl/>
        </w:rPr>
        <w:t xml:space="preserve"> </w:t>
      </w:r>
      <w:r>
        <w:rPr>
          <w:rFonts w:hint="cs"/>
          <w:rtl/>
        </w:rPr>
        <w:t xml:space="preserve">בעמ' 266; </w:t>
      </w:r>
      <w:r>
        <w:t xml:space="preserve">Case 42/84 </w:t>
      </w:r>
      <w:proofErr w:type="spellStart"/>
      <w:r>
        <w:rPr>
          <w:b/>
          <w:bCs/>
        </w:rPr>
        <w:t>Remia</w:t>
      </w:r>
      <w:proofErr w:type="spellEnd"/>
      <w:r>
        <w:rPr>
          <w:b/>
          <w:bCs/>
        </w:rPr>
        <w:t xml:space="preserve"> VB v. Commission </w:t>
      </w:r>
      <w:r>
        <w:t>[1985] ECR 2545</w:t>
      </w:r>
      <w:r>
        <w:rPr>
          <w:rFonts w:hint="cs"/>
          <w:rtl/>
        </w:rPr>
        <w:t xml:space="preserve"> פס' 19.</w:t>
      </w:r>
      <w:proofErr w:type="gramEnd"/>
      <w:r>
        <w:rPr>
          <w:rFonts w:hint="cs"/>
          <w:rtl/>
        </w:rPr>
        <w:t xml:space="preserve"> </w:t>
      </w:r>
    </w:p>
  </w:footnote>
  <w:footnote w:id="68">
    <w:p w14:paraId="198D663D" w14:textId="1DBACE2A" w:rsidR="006C3B31" w:rsidRPr="009765F2" w:rsidRDefault="006C3B31" w:rsidP="00BD62B3">
      <w:pPr>
        <w:pStyle w:val="FootnoteText"/>
        <w:spacing w:after="120"/>
        <w:jc w:val="both"/>
        <w:rPr>
          <w:rtl/>
        </w:rPr>
      </w:pPr>
      <w:r>
        <w:rPr>
          <w:rStyle w:val="FootnoteReference"/>
        </w:rPr>
        <w:footnoteRef/>
      </w:r>
      <w:r>
        <w:rPr>
          <w:rtl/>
        </w:rPr>
        <w:t xml:space="preserve"> </w:t>
      </w:r>
      <w:r>
        <w:rPr>
          <w:rFonts w:hint="cs"/>
          <w:rtl/>
        </w:rPr>
        <w:t xml:space="preserve">סע' 3(8) לחוק קובע כי לא תיחשב כהסדר כובל </w:t>
      </w:r>
      <w:r>
        <w:rPr>
          <w:rFonts w:hint="cs"/>
          <w:b/>
          <w:bCs/>
          <w:rtl/>
        </w:rPr>
        <w:t>"התחייבות של מוכר עסק, בשלמותו, כלפי רוכש העסק שלא לעסוק באותו סוג עסק, כשההתחייבות אינה בניגוד לנוהגים סבירים ומקובלים"</w:t>
      </w:r>
      <w:r>
        <w:rPr>
          <w:rFonts w:hint="cs"/>
          <w:rtl/>
        </w:rPr>
        <w:t xml:space="preserve">. </w:t>
      </w:r>
    </w:p>
  </w:footnote>
  <w:footnote w:id="69">
    <w:p w14:paraId="1946E11D" w14:textId="14237068" w:rsidR="006C3B31" w:rsidRPr="00EA7114" w:rsidRDefault="006C3B31" w:rsidP="001C31B2">
      <w:pPr>
        <w:pStyle w:val="FootnoteText"/>
        <w:spacing w:after="120"/>
        <w:jc w:val="both"/>
        <w:rPr>
          <w:rtl/>
        </w:rPr>
      </w:pPr>
      <w:r>
        <w:rPr>
          <w:rStyle w:val="FootnoteReference"/>
        </w:rPr>
        <w:footnoteRef/>
      </w:r>
      <w:r>
        <w:rPr>
          <w:rtl/>
        </w:rPr>
        <w:t xml:space="preserve"> </w:t>
      </w:r>
      <w:r>
        <w:rPr>
          <w:rFonts w:hint="cs"/>
          <w:rtl/>
        </w:rPr>
        <w:t xml:space="preserve">החלטה בדבר מתן פטור להסדר בין סטימצקי (2005) לבין </w:t>
      </w:r>
      <w:proofErr w:type="spellStart"/>
      <w:r>
        <w:rPr>
          <w:rFonts w:hint="cs"/>
          <w:rtl/>
        </w:rPr>
        <w:t>הליקון</w:t>
      </w:r>
      <w:proofErr w:type="spellEnd"/>
      <w:r>
        <w:rPr>
          <w:rFonts w:hint="cs"/>
          <w:rtl/>
        </w:rPr>
        <w:t xml:space="preserve"> וצליל חדש, 2008 </w:t>
      </w:r>
      <w:r>
        <w:rPr>
          <w:rFonts w:hint="cs"/>
          <w:b/>
          <w:bCs/>
          <w:rtl/>
        </w:rPr>
        <w:t>ההגבלים העסקיים</w:t>
      </w:r>
      <w:r>
        <w:rPr>
          <w:rFonts w:hint="cs"/>
          <w:rtl/>
        </w:rPr>
        <w:t xml:space="preserve"> 5000739; פס"ד </w:t>
      </w:r>
      <w:proofErr w:type="spellStart"/>
      <w:r>
        <w:rPr>
          <w:b/>
          <w:bCs/>
        </w:rPr>
        <w:t>Verson</w:t>
      </w:r>
      <w:proofErr w:type="spellEnd"/>
      <w:r>
        <w:rPr>
          <w:b/>
          <w:bCs/>
        </w:rPr>
        <w:t xml:space="preserve"> Wilkins</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Ref506818172 \h</w:instrText>
      </w:r>
      <w:r>
        <w:rPr>
          <w:rtl/>
        </w:rPr>
        <w:instrText xml:space="preserve">  \* </w:instrText>
      </w:r>
      <w:r>
        <w:instrText>MERGEFORMAT</w:instrText>
      </w:r>
      <w:r>
        <w:rPr>
          <w:rtl/>
        </w:rPr>
        <w:instrText xml:space="preserve"> </w:instrText>
      </w:r>
      <w:r>
        <w:rPr>
          <w:rtl/>
        </w:rPr>
      </w:r>
      <w:r>
        <w:rPr>
          <w:rtl/>
        </w:rPr>
        <w:fldChar w:fldCharType="separate"/>
      </w:r>
      <w:r w:rsidR="003F71DF">
        <w:rPr>
          <w:rtl/>
        </w:rPr>
        <w:t>56</w:t>
      </w:r>
      <w:r>
        <w:rPr>
          <w:rtl/>
        </w:rPr>
        <w:fldChar w:fldCharType="end"/>
      </w:r>
      <w:r>
        <w:rPr>
          <w:rFonts w:hint="cs"/>
          <w:rtl/>
        </w:rPr>
        <w:t xml:space="preserve"> לעיל, בעמ' </w:t>
      </w:r>
      <w:r w:rsidR="001C31B2">
        <w:t>*8-*9</w:t>
      </w:r>
      <w:r>
        <w:rPr>
          <w:rFonts w:hint="cs"/>
          <w:rtl/>
        </w:rPr>
        <w:t xml:space="preserve">.  </w:t>
      </w:r>
    </w:p>
  </w:footnote>
  <w:footnote w:id="70">
    <w:p w14:paraId="544E1C20" w14:textId="657E2CF4" w:rsidR="006C3B31" w:rsidRPr="00CD3E6A" w:rsidRDefault="006C3B31" w:rsidP="00BD62B3">
      <w:pPr>
        <w:pStyle w:val="FootnoteText"/>
        <w:spacing w:after="120"/>
        <w:jc w:val="both"/>
        <w:rPr>
          <w:rtl/>
        </w:rPr>
      </w:pPr>
      <w:r>
        <w:rPr>
          <w:rStyle w:val="FootnoteReference"/>
        </w:rPr>
        <w:footnoteRef/>
      </w:r>
      <w:r>
        <w:rPr>
          <w:rtl/>
        </w:rPr>
        <w:t xml:space="preserve"> </w:t>
      </w:r>
      <w:r>
        <w:rPr>
          <w:rFonts w:hint="cs"/>
          <w:rtl/>
        </w:rPr>
        <w:t xml:space="preserve">החלטה לפי סעיף 14 בדבר מתן פטור להסדר בין מפעלי חמצן וארגון בע"מ, </w:t>
      </w:r>
      <w:proofErr w:type="spellStart"/>
      <w:r>
        <w:rPr>
          <w:rFonts w:hint="cs"/>
          <w:rtl/>
        </w:rPr>
        <w:t>פימי</w:t>
      </w:r>
      <w:proofErr w:type="spellEnd"/>
      <w:r>
        <w:rPr>
          <w:rFonts w:hint="cs"/>
          <w:rtl/>
        </w:rPr>
        <w:t xml:space="preserve"> ישראל </w:t>
      </w:r>
      <w:proofErr w:type="spellStart"/>
      <w:r>
        <w:rPr>
          <w:rFonts w:hint="cs"/>
          <w:rtl/>
        </w:rPr>
        <w:t>אופורטוניטי</w:t>
      </w:r>
      <w:proofErr w:type="spellEnd"/>
      <w:r>
        <w:rPr>
          <w:rFonts w:hint="cs"/>
          <w:rtl/>
        </w:rPr>
        <w:t xml:space="preserve"> פייב, שותפות מוגבלת </w:t>
      </w:r>
      <w:proofErr w:type="spellStart"/>
      <w:r>
        <w:rPr>
          <w:rFonts w:hint="cs"/>
          <w:rtl/>
        </w:rPr>
        <w:t>ופימי</w:t>
      </w:r>
      <w:proofErr w:type="spellEnd"/>
      <w:r>
        <w:rPr>
          <w:rFonts w:hint="cs"/>
          <w:rtl/>
        </w:rPr>
        <w:t xml:space="preserve"> </w:t>
      </w:r>
      <w:proofErr w:type="spellStart"/>
      <w:r>
        <w:rPr>
          <w:rFonts w:hint="cs"/>
          <w:rtl/>
        </w:rPr>
        <w:t>אופוטוניטי</w:t>
      </w:r>
      <w:proofErr w:type="spellEnd"/>
      <w:r>
        <w:rPr>
          <w:rFonts w:hint="cs"/>
          <w:rtl/>
        </w:rPr>
        <w:t xml:space="preserve"> פייב (</w:t>
      </w:r>
      <w:proofErr w:type="spellStart"/>
      <w:r>
        <w:rPr>
          <w:rFonts w:hint="cs"/>
          <w:rtl/>
        </w:rPr>
        <w:t>דלוואר</w:t>
      </w:r>
      <w:proofErr w:type="spellEnd"/>
      <w:r>
        <w:rPr>
          <w:rFonts w:hint="cs"/>
          <w:rtl/>
        </w:rPr>
        <w:t xml:space="preserve">), שותפות מוגבלת, 2016 </w:t>
      </w:r>
      <w:r>
        <w:rPr>
          <w:rFonts w:hint="cs"/>
          <w:b/>
          <w:bCs/>
          <w:rtl/>
        </w:rPr>
        <w:t>ההגבלים העסקיים</w:t>
      </w:r>
      <w:r>
        <w:rPr>
          <w:rFonts w:hint="cs"/>
          <w:rtl/>
        </w:rPr>
        <w:t xml:space="preserve"> 500939, עמ' 3; החלטה לפי סעיף 14 בדבר מתן פטור להסדר בין </w:t>
      </w:r>
      <w:proofErr w:type="spellStart"/>
      <w:r>
        <w:rPr>
          <w:rFonts w:hint="cs"/>
          <w:rtl/>
        </w:rPr>
        <w:t>ט.ב.נ</w:t>
      </w:r>
      <w:proofErr w:type="spellEnd"/>
      <w:r>
        <w:rPr>
          <w:rFonts w:hint="cs"/>
          <w:rtl/>
        </w:rPr>
        <w:t xml:space="preserve"> החזקות בע"מ לבין </w:t>
      </w:r>
      <w:proofErr w:type="spellStart"/>
      <w:r>
        <w:rPr>
          <w:rFonts w:hint="cs"/>
          <w:rtl/>
        </w:rPr>
        <w:t>פמי</w:t>
      </w:r>
      <w:proofErr w:type="spellEnd"/>
      <w:r>
        <w:rPr>
          <w:rFonts w:hint="cs"/>
          <w:rtl/>
        </w:rPr>
        <w:t xml:space="preserve"> שירותי רפואה בע"מ, 2012 </w:t>
      </w:r>
      <w:r>
        <w:rPr>
          <w:rFonts w:hint="cs"/>
          <w:b/>
          <w:bCs/>
          <w:rtl/>
        </w:rPr>
        <w:t>ההגבלים העסקיים</w:t>
      </w:r>
      <w:r>
        <w:rPr>
          <w:rFonts w:hint="cs"/>
          <w:rtl/>
        </w:rPr>
        <w:t xml:space="preserve"> 500253, עמ' 2.</w:t>
      </w:r>
    </w:p>
  </w:footnote>
  <w:footnote w:id="71">
    <w:p w14:paraId="2364ADC4" w14:textId="30DE68D7" w:rsidR="0015159A" w:rsidRDefault="0015159A" w:rsidP="00A509C8">
      <w:pPr>
        <w:pStyle w:val="FootnoteText"/>
        <w:spacing w:after="120"/>
      </w:pPr>
      <w:r>
        <w:rPr>
          <w:rStyle w:val="FootnoteReference"/>
        </w:rPr>
        <w:footnoteRef/>
      </w:r>
      <w:r>
        <w:rPr>
          <w:rtl/>
        </w:rPr>
        <w:t xml:space="preserve"> </w:t>
      </w:r>
      <w:r w:rsidRPr="0015159A">
        <w:rPr>
          <w:b/>
          <w:bCs/>
        </w:rPr>
        <w:t>In re Sulfuric Acid Antitrust Litigation</w:t>
      </w:r>
      <w:r w:rsidRPr="0015159A">
        <w:t xml:space="preserve">, 703 F.3d 1004 (7th </w:t>
      </w:r>
      <w:r>
        <w:t>C</w:t>
      </w:r>
      <w:r w:rsidRPr="0015159A">
        <w:t>ir. 2012</w:t>
      </w:r>
      <w:r>
        <w:t>)</w:t>
      </w:r>
      <w:r w:rsidRPr="0015159A">
        <w:rPr>
          <w:rFonts w:cs="Arial"/>
          <w:rtl/>
        </w:rPr>
        <w:t xml:space="preserve">, </w:t>
      </w:r>
      <w:r w:rsidRPr="0015159A">
        <w:rPr>
          <w:rFonts w:cs="Arial" w:hint="cs"/>
          <w:rtl/>
        </w:rPr>
        <w:t>בעמ</w:t>
      </w:r>
      <w:r w:rsidRPr="0015159A">
        <w:rPr>
          <w:rFonts w:cs="Arial"/>
          <w:rtl/>
        </w:rPr>
        <w:t xml:space="preserve">' 1013; </w:t>
      </w:r>
      <w:r w:rsidRPr="0015159A">
        <w:rPr>
          <w:b/>
          <w:bCs/>
        </w:rPr>
        <w:t xml:space="preserve">U.S. Guidelines for Collaborations </w:t>
      </w:r>
      <w:proofErr w:type="gramStart"/>
      <w:r w:rsidRPr="0015159A">
        <w:rPr>
          <w:b/>
          <w:bCs/>
        </w:rPr>
        <w:t>Among</w:t>
      </w:r>
      <w:proofErr w:type="gramEnd"/>
      <w:r w:rsidRPr="0015159A">
        <w:rPr>
          <w:b/>
          <w:bCs/>
        </w:rPr>
        <w:t xml:space="preserve"> Competitors</w:t>
      </w:r>
      <w:r w:rsidRPr="0015159A">
        <w:rPr>
          <w:rFonts w:cs="Arial"/>
          <w:rtl/>
        </w:rPr>
        <w:t xml:space="preserve">, </w:t>
      </w:r>
      <w:proofErr w:type="spellStart"/>
      <w:r w:rsidRPr="0015159A">
        <w:rPr>
          <w:rFonts w:cs="Arial" w:hint="cs"/>
          <w:rtl/>
        </w:rPr>
        <w:t>ה</w:t>
      </w:r>
      <w:r w:rsidRPr="0015159A">
        <w:rPr>
          <w:rFonts w:cs="Arial"/>
          <w:rtl/>
        </w:rPr>
        <w:t>"</w:t>
      </w:r>
      <w:r w:rsidRPr="0015159A">
        <w:rPr>
          <w:rFonts w:cs="Arial" w:hint="cs"/>
          <w:rtl/>
        </w:rPr>
        <w:t>ש</w:t>
      </w:r>
      <w:proofErr w:type="spellEnd"/>
      <w:r w:rsidR="00A509C8">
        <w:rPr>
          <w:rFonts w:cs="Arial"/>
          <w:rtl/>
        </w:rPr>
        <w:t xml:space="preserve"> </w:t>
      </w:r>
      <w:r w:rsidR="00A509C8">
        <w:rPr>
          <w:rFonts w:cs="Arial"/>
          <w:rtl/>
        </w:rPr>
        <w:fldChar w:fldCharType="begin"/>
      </w:r>
      <w:r w:rsidR="00A509C8">
        <w:rPr>
          <w:rFonts w:cs="Arial"/>
          <w:rtl/>
        </w:rPr>
        <w:instrText xml:space="preserve"> </w:instrText>
      </w:r>
      <w:r w:rsidR="00A509C8">
        <w:rPr>
          <w:rFonts w:cs="Arial" w:hint="cs"/>
        </w:rPr>
        <w:instrText>NOTEREF</w:instrText>
      </w:r>
      <w:r w:rsidR="00A509C8">
        <w:rPr>
          <w:rFonts w:cs="Arial" w:hint="cs"/>
          <w:rtl/>
        </w:rPr>
        <w:instrText xml:space="preserve"> _</w:instrText>
      </w:r>
      <w:r w:rsidR="00A509C8">
        <w:rPr>
          <w:rFonts w:cs="Arial" w:hint="cs"/>
        </w:rPr>
        <w:instrText>Ref494374882 \h</w:instrText>
      </w:r>
      <w:r w:rsidR="00A509C8">
        <w:rPr>
          <w:rFonts w:cs="Arial"/>
          <w:rtl/>
        </w:rPr>
        <w:instrText xml:space="preserve"> </w:instrText>
      </w:r>
      <w:r w:rsidR="00A509C8">
        <w:rPr>
          <w:rFonts w:cs="Arial"/>
          <w:rtl/>
        </w:rPr>
      </w:r>
      <w:r w:rsidR="00A509C8">
        <w:rPr>
          <w:rFonts w:cs="Arial"/>
          <w:rtl/>
        </w:rPr>
        <w:fldChar w:fldCharType="separate"/>
      </w:r>
      <w:r w:rsidR="003F71DF">
        <w:rPr>
          <w:rFonts w:cs="Arial"/>
          <w:rtl/>
        </w:rPr>
        <w:t>29</w:t>
      </w:r>
      <w:r w:rsidR="00A509C8">
        <w:rPr>
          <w:rFonts w:cs="Arial"/>
          <w:rtl/>
        </w:rPr>
        <w:fldChar w:fldCharType="end"/>
      </w:r>
      <w:r w:rsidR="00A509C8">
        <w:rPr>
          <w:rFonts w:cs="Arial" w:hint="cs"/>
          <w:rtl/>
        </w:rPr>
        <w:t xml:space="preserve"> </w:t>
      </w:r>
      <w:r w:rsidRPr="0015159A">
        <w:rPr>
          <w:rFonts w:cs="Arial" w:hint="cs"/>
          <w:rtl/>
        </w:rPr>
        <w:t>לעיל</w:t>
      </w:r>
      <w:r w:rsidRPr="0015159A">
        <w:rPr>
          <w:rFonts w:cs="Arial"/>
          <w:rtl/>
        </w:rPr>
        <w:t xml:space="preserve">, </w:t>
      </w:r>
      <w:r w:rsidRPr="0015159A">
        <w:rPr>
          <w:rFonts w:cs="Arial" w:hint="cs"/>
          <w:rtl/>
        </w:rPr>
        <w:t>בעמ</w:t>
      </w:r>
      <w:r w:rsidRPr="0015159A">
        <w:rPr>
          <w:rFonts w:cs="Arial"/>
          <w:rtl/>
        </w:rPr>
        <w:t>' 9.</w:t>
      </w:r>
    </w:p>
  </w:footnote>
  <w:footnote w:id="72">
    <w:p w14:paraId="05F4BF7E" w14:textId="51870CBA" w:rsidR="00CA77E2" w:rsidRPr="00442F90" w:rsidRDefault="00CA77E2" w:rsidP="00B93FD7">
      <w:pPr>
        <w:pStyle w:val="FootnoteText"/>
        <w:spacing w:after="120"/>
        <w:rPr>
          <w:rtl/>
        </w:rPr>
      </w:pPr>
      <w:r>
        <w:rPr>
          <w:rStyle w:val="FootnoteReference"/>
        </w:rPr>
        <w:footnoteRef/>
      </w:r>
      <w:r>
        <w:rPr>
          <w:rtl/>
        </w:rPr>
        <w:t xml:space="preserve"> </w:t>
      </w:r>
      <w:proofErr w:type="gramStart"/>
      <w:r w:rsidRPr="00B93FD7">
        <w:rPr>
          <w:b/>
          <w:bCs/>
        </w:rPr>
        <w:t>Wholesale Grocery Products Antitrust Litigation</w:t>
      </w:r>
      <w:r>
        <w:t>, 752 F.3d 728 (8</w:t>
      </w:r>
      <w:r w:rsidRPr="00B93FD7">
        <w:rPr>
          <w:vertAlign w:val="superscript"/>
        </w:rPr>
        <w:t>th</w:t>
      </w:r>
      <w:r>
        <w:t xml:space="preserve"> Cir. 2014)</w:t>
      </w:r>
      <w:r>
        <w:rPr>
          <w:rFonts w:hint="cs"/>
          <w:rtl/>
        </w:rPr>
        <w:t>, בעמ' 734</w:t>
      </w:r>
      <w:r w:rsidR="00442F90">
        <w:rPr>
          <w:rFonts w:hint="cs"/>
          <w:rtl/>
        </w:rPr>
        <w:t xml:space="preserve">; עניין </w:t>
      </w:r>
      <w:r w:rsidR="00442F90">
        <w:rPr>
          <w:b/>
          <w:bCs/>
        </w:rPr>
        <w:t>Polygram</w:t>
      </w:r>
      <w:r w:rsidR="00442F90">
        <w:rPr>
          <w:rFonts w:hint="cs"/>
          <w:rtl/>
        </w:rPr>
        <w:t xml:space="preserve">, </w:t>
      </w:r>
      <w:proofErr w:type="spellStart"/>
      <w:r w:rsidR="00442F90">
        <w:rPr>
          <w:rFonts w:hint="cs"/>
          <w:rtl/>
        </w:rPr>
        <w:t>ה"ש</w:t>
      </w:r>
      <w:proofErr w:type="spellEnd"/>
      <w:r w:rsidR="00442F90">
        <w:rPr>
          <w:rFonts w:hint="cs"/>
          <w:rtl/>
        </w:rPr>
        <w:t xml:space="preserve"> </w:t>
      </w:r>
      <w:r w:rsidR="00442F90">
        <w:rPr>
          <w:rtl/>
        </w:rPr>
        <w:fldChar w:fldCharType="begin"/>
      </w:r>
      <w:r w:rsidR="00442F90">
        <w:rPr>
          <w:rtl/>
        </w:rPr>
        <w:instrText xml:space="preserve"> </w:instrText>
      </w:r>
      <w:r w:rsidR="00442F90">
        <w:rPr>
          <w:rFonts w:hint="cs"/>
        </w:rPr>
        <w:instrText>NOTEREF</w:instrText>
      </w:r>
      <w:r w:rsidR="00442F90">
        <w:rPr>
          <w:rFonts w:hint="cs"/>
          <w:rtl/>
        </w:rPr>
        <w:instrText xml:space="preserve"> _</w:instrText>
      </w:r>
      <w:r w:rsidR="00442F90">
        <w:rPr>
          <w:rFonts w:hint="cs"/>
        </w:rPr>
        <w:instrText>Ref506810153 \h</w:instrText>
      </w:r>
      <w:r w:rsidR="00442F90">
        <w:rPr>
          <w:rtl/>
        </w:rPr>
        <w:instrText xml:space="preserve"> </w:instrText>
      </w:r>
      <w:r w:rsidR="00442F90">
        <w:rPr>
          <w:rtl/>
        </w:rPr>
      </w:r>
      <w:r w:rsidR="00442F90">
        <w:rPr>
          <w:rtl/>
        </w:rPr>
        <w:fldChar w:fldCharType="separate"/>
      </w:r>
      <w:r w:rsidR="003F71DF">
        <w:rPr>
          <w:rtl/>
        </w:rPr>
        <w:t>48</w:t>
      </w:r>
      <w:r w:rsidR="00442F90">
        <w:rPr>
          <w:rtl/>
        </w:rPr>
        <w:fldChar w:fldCharType="end"/>
      </w:r>
      <w:r w:rsidR="00442F90">
        <w:rPr>
          <w:rFonts w:hint="cs"/>
          <w:rtl/>
        </w:rPr>
        <w:t xml:space="preserve"> לעיל, בעמ' 8-9.</w:t>
      </w:r>
      <w:proofErr w:type="gramEnd"/>
    </w:p>
  </w:footnote>
  <w:footnote w:id="73">
    <w:p w14:paraId="5189E059" w14:textId="3141D7CC" w:rsidR="0015159A" w:rsidRPr="00CE2BEF" w:rsidRDefault="0015159A" w:rsidP="0015159A">
      <w:pPr>
        <w:pStyle w:val="FootnoteText"/>
      </w:pPr>
      <w:r>
        <w:rPr>
          <w:rStyle w:val="FootnoteReference"/>
        </w:rPr>
        <w:footnoteRef/>
      </w:r>
      <w:r>
        <w:rPr>
          <w:rtl/>
        </w:rPr>
        <w:t xml:space="preserve"> </w:t>
      </w:r>
      <w:r>
        <w:rPr>
          <w:rFonts w:hint="cs"/>
          <w:rtl/>
        </w:rPr>
        <w:t xml:space="preserve">פס"ד </w:t>
      </w:r>
      <w:proofErr w:type="spellStart"/>
      <w:r>
        <w:rPr>
          <w:rFonts w:hint="cs"/>
          <w:b/>
          <w:bCs/>
          <w:rtl/>
        </w:rPr>
        <w:t>הולנדיה</w:t>
      </w:r>
      <w:proofErr w:type="spellEnd"/>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Ref508210656 \h</w:instrText>
      </w:r>
      <w:r>
        <w:rPr>
          <w:rtl/>
        </w:rPr>
        <w:instrText xml:space="preserve"> </w:instrText>
      </w:r>
      <w:r>
        <w:rPr>
          <w:rtl/>
        </w:rPr>
      </w:r>
      <w:r>
        <w:rPr>
          <w:rtl/>
        </w:rPr>
        <w:fldChar w:fldCharType="separate"/>
      </w:r>
      <w:r w:rsidR="003F71DF">
        <w:rPr>
          <w:rtl/>
        </w:rPr>
        <w:t>23</w:t>
      </w:r>
      <w:r>
        <w:rPr>
          <w:rtl/>
        </w:rPr>
        <w:fldChar w:fldCharType="end"/>
      </w:r>
      <w:r>
        <w:rPr>
          <w:rFonts w:hint="cs"/>
          <w:rtl/>
        </w:rPr>
        <w:t xml:space="preserve"> לעיל, פס' 36-37.</w:t>
      </w:r>
    </w:p>
    <w:p w14:paraId="48BE0B2F" w14:textId="03E26D57" w:rsidR="0015159A" w:rsidRPr="0015159A" w:rsidRDefault="0015159A">
      <w:pPr>
        <w:pStyle w:val="FootnoteText"/>
      </w:pPr>
    </w:p>
  </w:footnote>
  <w:footnote w:id="74">
    <w:p w14:paraId="4F36DB98" w14:textId="1C8272BF" w:rsidR="006C3B31" w:rsidRPr="00350FD2" w:rsidRDefault="006C3B31" w:rsidP="00BD62B3">
      <w:pPr>
        <w:pStyle w:val="FootnoteText"/>
        <w:spacing w:after="120"/>
        <w:jc w:val="both"/>
        <w:rPr>
          <w:rtl/>
        </w:rPr>
      </w:pPr>
      <w:r>
        <w:rPr>
          <w:rStyle w:val="FootnoteReference"/>
        </w:rPr>
        <w:footnoteRef/>
      </w:r>
      <w:r>
        <w:rPr>
          <w:rtl/>
        </w:rPr>
        <w:t xml:space="preserve"> </w:t>
      </w:r>
      <w:r>
        <w:rPr>
          <w:rFonts w:hint="cs"/>
          <w:rtl/>
        </w:rPr>
        <w:t xml:space="preserve">פס"ד </w:t>
      </w:r>
      <w:proofErr w:type="spellStart"/>
      <w:r>
        <w:rPr>
          <w:rFonts w:hint="cs"/>
          <w:b/>
          <w:bCs/>
          <w:rtl/>
        </w:rPr>
        <w:t>הולנדיה</w:t>
      </w:r>
      <w:proofErr w:type="spellEnd"/>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Ref508210656 \h</w:instrText>
      </w:r>
      <w:r>
        <w:rPr>
          <w:rtl/>
        </w:rPr>
        <w:instrText xml:space="preserve"> </w:instrText>
      </w:r>
      <w:r>
        <w:rPr>
          <w:rtl/>
        </w:rPr>
      </w:r>
      <w:r>
        <w:rPr>
          <w:rtl/>
        </w:rPr>
        <w:fldChar w:fldCharType="separate"/>
      </w:r>
      <w:r w:rsidR="003F71DF">
        <w:rPr>
          <w:rtl/>
        </w:rPr>
        <w:t>23</w:t>
      </w:r>
      <w:r>
        <w:rPr>
          <w:rtl/>
        </w:rPr>
        <w:fldChar w:fldCharType="end"/>
      </w:r>
      <w:r>
        <w:rPr>
          <w:rFonts w:hint="cs"/>
          <w:rtl/>
        </w:rPr>
        <w:t xml:space="preserve"> לעיל, פס' 31-32.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F0A86" w14:textId="06C75A6A" w:rsidR="00B523A2" w:rsidRDefault="00B523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933918" w14:textId="40AE1F67" w:rsidR="006C3B31" w:rsidRDefault="004546D2">
    <w:pPr>
      <w:pStyle w:val="Header"/>
      <w:jc w:val="center"/>
      <w:rPr>
        <w:rtl/>
        <w:cs/>
      </w:rPr>
    </w:pPr>
    <w:sdt>
      <w:sdtPr>
        <w:rPr>
          <w:rtl/>
        </w:rPr>
        <w:id w:val="-1074042675"/>
        <w:docPartObj>
          <w:docPartGallery w:val="Page Numbers (Top of Page)"/>
          <w:docPartUnique/>
        </w:docPartObj>
      </w:sdtPr>
      <w:sdtEndPr>
        <w:rPr>
          <w:cs/>
        </w:rPr>
      </w:sdtEndPr>
      <w:sdtContent>
        <w:r w:rsidR="006C3B31">
          <w:fldChar w:fldCharType="begin"/>
        </w:r>
        <w:r w:rsidR="006C3B31">
          <w:rPr>
            <w:rtl/>
            <w:cs/>
          </w:rPr>
          <w:instrText>PAGE   \* MERGEFORMAT</w:instrText>
        </w:r>
        <w:r w:rsidR="006C3B31">
          <w:fldChar w:fldCharType="separate"/>
        </w:r>
        <w:r w:rsidRPr="004546D2">
          <w:rPr>
            <w:noProof/>
            <w:rtl/>
            <w:lang w:val="he-IL"/>
          </w:rPr>
          <w:t>3</w:t>
        </w:r>
        <w:r w:rsidR="006C3B31">
          <w:fldChar w:fldCharType="end"/>
        </w:r>
      </w:sdtContent>
    </w:sdt>
  </w:p>
  <w:p w14:paraId="6B1503AC" w14:textId="7C769DDE" w:rsidR="006C3B31" w:rsidRDefault="006C3B31" w:rsidP="00CF52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3BC7FA" w14:textId="709E5F9F" w:rsidR="00B523A2" w:rsidRDefault="00B523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53633"/>
    <w:multiLevelType w:val="hybridMultilevel"/>
    <w:tmpl w:val="C3AC4FD0"/>
    <w:lvl w:ilvl="0" w:tplc="A1604EC2">
      <w:start w:val="1"/>
      <w:numFmt w:val="upperRoman"/>
      <w:lvlText w:val="%1."/>
      <w:lvlJc w:val="left"/>
      <w:pPr>
        <w:ind w:left="1571" w:hanging="72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A13FC3"/>
    <w:multiLevelType w:val="hybridMultilevel"/>
    <w:tmpl w:val="A8CC4D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5584F6B"/>
    <w:multiLevelType w:val="hybridMultilevel"/>
    <w:tmpl w:val="A628DCE6"/>
    <w:lvl w:ilvl="0" w:tplc="E36090D2">
      <w:start w:val="1"/>
      <w:numFmt w:val="upperRoman"/>
      <w:pStyle w:val="Heading2"/>
      <w:lvlText w:val="%1."/>
      <w:lvlJc w:val="left"/>
      <w:pPr>
        <w:ind w:left="862" w:hanging="720"/>
      </w:pPr>
      <w:rPr>
        <w:rFonts w:hint="default"/>
        <w:sz w:val="26"/>
      </w:rPr>
    </w:lvl>
    <w:lvl w:ilvl="1" w:tplc="04090019" w:tentative="1">
      <w:start w:val="1"/>
      <w:numFmt w:val="lowerLetter"/>
      <w:lvlText w:val="%2."/>
      <w:lvlJc w:val="left"/>
      <w:pPr>
        <w:ind w:left="589" w:hanging="360"/>
      </w:pPr>
    </w:lvl>
    <w:lvl w:ilvl="2" w:tplc="0409001B" w:tentative="1">
      <w:start w:val="1"/>
      <w:numFmt w:val="lowerRoman"/>
      <w:lvlText w:val="%3."/>
      <w:lvlJc w:val="right"/>
      <w:pPr>
        <w:ind w:left="1309" w:hanging="180"/>
      </w:pPr>
    </w:lvl>
    <w:lvl w:ilvl="3" w:tplc="0409000F" w:tentative="1">
      <w:start w:val="1"/>
      <w:numFmt w:val="decimal"/>
      <w:lvlText w:val="%4."/>
      <w:lvlJc w:val="left"/>
      <w:pPr>
        <w:ind w:left="2029" w:hanging="360"/>
      </w:pPr>
    </w:lvl>
    <w:lvl w:ilvl="4" w:tplc="04090019" w:tentative="1">
      <w:start w:val="1"/>
      <w:numFmt w:val="lowerLetter"/>
      <w:lvlText w:val="%5."/>
      <w:lvlJc w:val="left"/>
      <w:pPr>
        <w:ind w:left="2749" w:hanging="360"/>
      </w:pPr>
    </w:lvl>
    <w:lvl w:ilvl="5" w:tplc="0409001B" w:tentative="1">
      <w:start w:val="1"/>
      <w:numFmt w:val="lowerRoman"/>
      <w:lvlText w:val="%6."/>
      <w:lvlJc w:val="right"/>
      <w:pPr>
        <w:ind w:left="3469" w:hanging="180"/>
      </w:pPr>
    </w:lvl>
    <w:lvl w:ilvl="6" w:tplc="0409000F" w:tentative="1">
      <w:start w:val="1"/>
      <w:numFmt w:val="decimal"/>
      <w:lvlText w:val="%7."/>
      <w:lvlJc w:val="left"/>
      <w:pPr>
        <w:ind w:left="4189" w:hanging="360"/>
      </w:pPr>
    </w:lvl>
    <w:lvl w:ilvl="7" w:tplc="04090019" w:tentative="1">
      <w:start w:val="1"/>
      <w:numFmt w:val="lowerLetter"/>
      <w:lvlText w:val="%8."/>
      <w:lvlJc w:val="left"/>
      <w:pPr>
        <w:ind w:left="4909" w:hanging="360"/>
      </w:pPr>
    </w:lvl>
    <w:lvl w:ilvl="8" w:tplc="0409001B" w:tentative="1">
      <w:start w:val="1"/>
      <w:numFmt w:val="lowerRoman"/>
      <w:lvlText w:val="%9."/>
      <w:lvlJc w:val="right"/>
      <w:pPr>
        <w:ind w:left="5629" w:hanging="180"/>
      </w:pPr>
    </w:lvl>
  </w:abstractNum>
  <w:abstractNum w:abstractNumId="3">
    <w:nsid w:val="2FEE09DA"/>
    <w:multiLevelType w:val="hybridMultilevel"/>
    <w:tmpl w:val="5032E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820783"/>
    <w:multiLevelType w:val="hybridMultilevel"/>
    <w:tmpl w:val="A00EE38A"/>
    <w:lvl w:ilvl="0" w:tplc="E40C42C6">
      <w:start w:val="17"/>
      <w:numFmt w:val="decimal"/>
      <w:lvlText w:val="%1."/>
      <w:lvlJc w:val="left"/>
      <w:pPr>
        <w:tabs>
          <w:tab w:val="num" w:pos="720"/>
        </w:tabs>
        <w:ind w:left="720" w:right="720" w:hanging="360"/>
      </w:pPr>
    </w:lvl>
    <w:lvl w:ilvl="1" w:tplc="1924ECBA" w:tentative="1">
      <w:start w:val="1"/>
      <w:numFmt w:val="decimal"/>
      <w:lvlText w:val="%2."/>
      <w:lvlJc w:val="left"/>
      <w:pPr>
        <w:tabs>
          <w:tab w:val="num" w:pos="1440"/>
        </w:tabs>
        <w:ind w:left="1440" w:right="1440" w:hanging="360"/>
      </w:pPr>
    </w:lvl>
    <w:lvl w:ilvl="2" w:tplc="591ABB8A" w:tentative="1">
      <w:start w:val="1"/>
      <w:numFmt w:val="decimal"/>
      <w:lvlText w:val="%3."/>
      <w:lvlJc w:val="left"/>
      <w:pPr>
        <w:tabs>
          <w:tab w:val="num" w:pos="2160"/>
        </w:tabs>
        <w:ind w:left="2160" w:right="2160" w:hanging="360"/>
      </w:pPr>
    </w:lvl>
    <w:lvl w:ilvl="3" w:tplc="106694CC" w:tentative="1">
      <w:start w:val="1"/>
      <w:numFmt w:val="decimal"/>
      <w:lvlText w:val="%4."/>
      <w:lvlJc w:val="left"/>
      <w:pPr>
        <w:tabs>
          <w:tab w:val="num" w:pos="2880"/>
        </w:tabs>
        <w:ind w:left="2880" w:right="2880" w:hanging="360"/>
      </w:pPr>
    </w:lvl>
    <w:lvl w:ilvl="4" w:tplc="F412D9AC" w:tentative="1">
      <w:start w:val="1"/>
      <w:numFmt w:val="decimal"/>
      <w:lvlText w:val="%5."/>
      <w:lvlJc w:val="left"/>
      <w:pPr>
        <w:tabs>
          <w:tab w:val="num" w:pos="3600"/>
        </w:tabs>
        <w:ind w:left="3600" w:right="3600" w:hanging="360"/>
      </w:pPr>
    </w:lvl>
    <w:lvl w:ilvl="5" w:tplc="3AEE39DE" w:tentative="1">
      <w:start w:val="1"/>
      <w:numFmt w:val="decimal"/>
      <w:lvlText w:val="%6."/>
      <w:lvlJc w:val="left"/>
      <w:pPr>
        <w:tabs>
          <w:tab w:val="num" w:pos="4320"/>
        </w:tabs>
        <w:ind w:left="4320" w:right="4320" w:hanging="360"/>
      </w:pPr>
    </w:lvl>
    <w:lvl w:ilvl="6" w:tplc="8AE63B4C" w:tentative="1">
      <w:start w:val="1"/>
      <w:numFmt w:val="decimal"/>
      <w:lvlText w:val="%7."/>
      <w:lvlJc w:val="left"/>
      <w:pPr>
        <w:tabs>
          <w:tab w:val="num" w:pos="5040"/>
        </w:tabs>
        <w:ind w:left="5040" w:right="5040" w:hanging="360"/>
      </w:pPr>
    </w:lvl>
    <w:lvl w:ilvl="7" w:tplc="38F8DF9A" w:tentative="1">
      <w:start w:val="1"/>
      <w:numFmt w:val="decimal"/>
      <w:lvlText w:val="%8."/>
      <w:lvlJc w:val="left"/>
      <w:pPr>
        <w:tabs>
          <w:tab w:val="num" w:pos="5760"/>
        </w:tabs>
        <w:ind w:left="5760" w:right="5760" w:hanging="360"/>
      </w:pPr>
    </w:lvl>
    <w:lvl w:ilvl="8" w:tplc="C9F435CE" w:tentative="1">
      <w:start w:val="1"/>
      <w:numFmt w:val="decimal"/>
      <w:lvlText w:val="%9."/>
      <w:lvlJc w:val="left"/>
      <w:pPr>
        <w:tabs>
          <w:tab w:val="num" w:pos="6480"/>
        </w:tabs>
        <w:ind w:left="6480" w:right="6480" w:hanging="36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685"/>
    <w:rsid w:val="0000002D"/>
    <w:rsid w:val="00003E11"/>
    <w:rsid w:val="0000417B"/>
    <w:rsid w:val="00004683"/>
    <w:rsid w:val="00004C1D"/>
    <w:rsid w:val="0000507C"/>
    <w:rsid w:val="00005895"/>
    <w:rsid w:val="00007B9D"/>
    <w:rsid w:val="00012234"/>
    <w:rsid w:val="000131EF"/>
    <w:rsid w:val="00013277"/>
    <w:rsid w:val="000135C1"/>
    <w:rsid w:val="00014A65"/>
    <w:rsid w:val="000152B4"/>
    <w:rsid w:val="00016036"/>
    <w:rsid w:val="00017175"/>
    <w:rsid w:val="00021E88"/>
    <w:rsid w:val="000231D5"/>
    <w:rsid w:val="000237A7"/>
    <w:rsid w:val="00023988"/>
    <w:rsid w:val="00023FF3"/>
    <w:rsid w:val="0003175B"/>
    <w:rsid w:val="000321AD"/>
    <w:rsid w:val="00032CEB"/>
    <w:rsid w:val="000342F1"/>
    <w:rsid w:val="0003432E"/>
    <w:rsid w:val="00034715"/>
    <w:rsid w:val="000368E3"/>
    <w:rsid w:val="00037282"/>
    <w:rsid w:val="00042320"/>
    <w:rsid w:val="0004408C"/>
    <w:rsid w:val="000446BF"/>
    <w:rsid w:val="00044AF0"/>
    <w:rsid w:val="00046CE5"/>
    <w:rsid w:val="000544CC"/>
    <w:rsid w:val="000545F0"/>
    <w:rsid w:val="00057443"/>
    <w:rsid w:val="000620BA"/>
    <w:rsid w:val="00063608"/>
    <w:rsid w:val="00063AA6"/>
    <w:rsid w:val="00065D50"/>
    <w:rsid w:val="000663EB"/>
    <w:rsid w:val="00067692"/>
    <w:rsid w:val="00075795"/>
    <w:rsid w:val="0007618C"/>
    <w:rsid w:val="000763B3"/>
    <w:rsid w:val="00076CE8"/>
    <w:rsid w:val="0008001D"/>
    <w:rsid w:val="00080B02"/>
    <w:rsid w:val="00082D59"/>
    <w:rsid w:val="00083736"/>
    <w:rsid w:val="00084562"/>
    <w:rsid w:val="00086005"/>
    <w:rsid w:val="00087C84"/>
    <w:rsid w:val="00087D9F"/>
    <w:rsid w:val="00090493"/>
    <w:rsid w:val="00094F68"/>
    <w:rsid w:val="000963C0"/>
    <w:rsid w:val="000A0F0D"/>
    <w:rsid w:val="000A1EEF"/>
    <w:rsid w:val="000A260E"/>
    <w:rsid w:val="000A3F24"/>
    <w:rsid w:val="000A5F59"/>
    <w:rsid w:val="000A6AA2"/>
    <w:rsid w:val="000A7794"/>
    <w:rsid w:val="000B3B00"/>
    <w:rsid w:val="000B6644"/>
    <w:rsid w:val="000C1854"/>
    <w:rsid w:val="000C74E4"/>
    <w:rsid w:val="000C7C0A"/>
    <w:rsid w:val="000D0D68"/>
    <w:rsid w:val="000D18DD"/>
    <w:rsid w:val="000D6116"/>
    <w:rsid w:val="000E079A"/>
    <w:rsid w:val="000E16EE"/>
    <w:rsid w:val="000E2A53"/>
    <w:rsid w:val="000E4D6E"/>
    <w:rsid w:val="000E5C31"/>
    <w:rsid w:val="000F1994"/>
    <w:rsid w:val="000F7517"/>
    <w:rsid w:val="00101B97"/>
    <w:rsid w:val="001030D0"/>
    <w:rsid w:val="0010400A"/>
    <w:rsid w:val="001042A6"/>
    <w:rsid w:val="00107093"/>
    <w:rsid w:val="001113F5"/>
    <w:rsid w:val="00112038"/>
    <w:rsid w:val="00112E12"/>
    <w:rsid w:val="0011720E"/>
    <w:rsid w:val="00117DFF"/>
    <w:rsid w:val="00117E93"/>
    <w:rsid w:val="00120A71"/>
    <w:rsid w:val="001221EF"/>
    <w:rsid w:val="001232F9"/>
    <w:rsid w:val="00125219"/>
    <w:rsid w:val="00130297"/>
    <w:rsid w:val="0013051D"/>
    <w:rsid w:val="00131061"/>
    <w:rsid w:val="00132535"/>
    <w:rsid w:val="001412F7"/>
    <w:rsid w:val="001415FB"/>
    <w:rsid w:val="00144098"/>
    <w:rsid w:val="0015159A"/>
    <w:rsid w:val="001528B5"/>
    <w:rsid w:val="00160B40"/>
    <w:rsid w:val="00161CD0"/>
    <w:rsid w:val="00163AB1"/>
    <w:rsid w:val="00166E75"/>
    <w:rsid w:val="00170726"/>
    <w:rsid w:val="00171229"/>
    <w:rsid w:val="0017151A"/>
    <w:rsid w:val="00172310"/>
    <w:rsid w:val="00175644"/>
    <w:rsid w:val="00177222"/>
    <w:rsid w:val="0017725A"/>
    <w:rsid w:val="0018046F"/>
    <w:rsid w:val="0018478A"/>
    <w:rsid w:val="001901C2"/>
    <w:rsid w:val="00191355"/>
    <w:rsid w:val="00191B3A"/>
    <w:rsid w:val="0019234D"/>
    <w:rsid w:val="0019289E"/>
    <w:rsid w:val="00196D5C"/>
    <w:rsid w:val="0019780E"/>
    <w:rsid w:val="001A07F7"/>
    <w:rsid w:val="001A7300"/>
    <w:rsid w:val="001B1F40"/>
    <w:rsid w:val="001B2E05"/>
    <w:rsid w:val="001B633E"/>
    <w:rsid w:val="001B7981"/>
    <w:rsid w:val="001C31B2"/>
    <w:rsid w:val="001C3E72"/>
    <w:rsid w:val="001C49D6"/>
    <w:rsid w:val="001C4A6D"/>
    <w:rsid w:val="001C53D6"/>
    <w:rsid w:val="001C638C"/>
    <w:rsid w:val="001C70A6"/>
    <w:rsid w:val="001D1340"/>
    <w:rsid w:val="001D36DA"/>
    <w:rsid w:val="001D4E33"/>
    <w:rsid w:val="001E0C18"/>
    <w:rsid w:val="001E24DB"/>
    <w:rsid w:val="001E6A53"/>
    <w:rsid w:val="001E71CB"/>
    <w:rsid w:val="001E7E5A"/>
    <w:rsid w:val="001E7EB2"/>
    <w:rsid w:val="001F2D99"/>
    <w:rsid w:val="001F5A28"/>
    <w:rsid w:val="001F6E57"/>
    <w:rsid w:val="00202E36"/>
    <w:rsid w:val="00203093"/>
    <w:rsid w:val="00212E3C"/>
    <w:rsid w:val="002131B2"/>
    <w:rsid w:val="002161DF"/>
    <w:rsid w:val="00217160"/>
    <w:rsid w:val="00217C3B"/>
    <w:rsid w:val="00223E94"/>
    <w:rsid w:val="002241D0"/>
    <w:rsid w:val="002250A7"/>
    <w:rsid w:val="00230C6D"/>
    <w:rsid w:val="002331BF"/>
    <w:rsid w:val="00233212"/>
    <w:rsid w:val="00235347"/>
    <w:rsid w:val="002411EE"/>
    <w:rsid w:val="00241671"/>
    <w:rsid w:val="00242B4E"/>
    <w:rsid w:val="00247817"/>
    <w:rsid w:val="00247924"/>
    <w:rsid w:val="00253DBB"/>
    <w:rsid w:val="002558B7"/>
    <w:rsid w:val="00263764"/>
    <w:rsid w:val="00264A8C"/>
    <w:rsid w:val="00266059"/>
    <w:rsid w:val="00271257"/>
    <w:rsid w:val="00277525"/>
    <w:rsid w:val="00280276"/>
    <w:rsid w:val="00281CC8"/>
    <w:rsid w:val="00281F05"/>
    <w:rsid w:val="002828FD"/>
    <w:rsid w:val="002841D6"/>
    <w:rsid w:val="0028453C"/>
    <w:rsid w:val="00284657"/>
    <w:rsid w:val="00284F0C"/>
    <w:rsid w:val="00287519"/>
    <w:rsid w:val="002927BC"/>
    <w:rsid w:val="00295B72"/>
    <w:rsid w:val="002A0994"/>
    <w:rsid w:val="002B024E"/>
    <w:rsid w:val="002B19CE"/>
    <w:rsid w:val="002B25E9"/>
    <w:rsid w:val="002B2E5A"/>
    <w:rsid w:val="002B35B3"/>
    <w:rsid w:val="002B4A7B"/>
    <w:rsid w:val="002B7963"/>
    <w:rsid w:val="002C003E"/>
    <w:rsid w:val="002C0F30"/>
    <w:rsid w:val="002C10A1"/>
    <w:rsid w:val="002C176F"/>
    <w:rsid w:val="002C250A"/>
    <w:rsid w:val="002C5715"/>
    <w:rsid w:val="002C606E"/>
    <w:rsid w:val="002C6193"/>
    <w:rsid w:val="002C6E4F"/>
    <w:rsid w:val="002C748C"/>
    <w:rsid w:val="002D02D6"/>
    <w:rsid w:val="002D1EBD"/>
    <w:rsid w:val="002D71F3"/>
    <w:rsid w:val="002D769E"/>
    <w:rsid w:val="002E247C"/>
    <w:rsid w:val="002E2B53"/>
    <w:rsid w:val="002E4999"/>
    <w:rsid w:val="002E5E3A"/>
    <w:rsid w:val="002E5EB8"/>
    <w:rsid w:val="002F0DF2"/>
    <w:rsid w:val="002F36E4"/>
    <w:rsid w:val="002F3DA3"/>
    <w:rsid w:val="002F55F2"/>
    <w:rsid w:val="002F6270"/>
    <w:rsid w:val="00300F59"/>
    <w:rsid w:val="003010EC"/>
    <w:rsid w:val="003034BC"/>
    <w:rsid w:val="003079C5"/>
    <w:rsid w:val="00307D6A"/>
    <w:rsid w:val="00311F52"/>
    <w:rsid w:val="0031223E"/>
    <w:rsid w:val="00321934"/>
    <w:rsid w:val="0032313F"/>
    <w:rsid w:val="003232B6"/>
    <w:rsid w:val="00324BDF"/>
    <w:rsid w:val="00325FD1"/>
    <w:rsid w:val="00333A0C"/>
    <w:rsid w:val="00335D15"/>
    <w:rsid w:val="003421FF"/>
    <w:rsid w:val="00344148"/>
    <w:rsid w:val="00346888"/>
    <w:rsid w:val="003472BC"/>
    <w:rsid w:val="003500A0"/>
    <w:rsid w:val="003501B6"/>
    <w:rsid w:val="00350FD2"/>
    <w:rsid w:val="0035489B"/>
    <w:rsid w:val="00354B85"/>
    <w:rsid w:val="003552AB"/>
    <w:rsid w:val="00355EB4"/>
    <w:rsid w:val="00360F9F"/>
    <w:rsid w:val="0036287E"/>
    <w:rsid w:val="00365BD6"/>
    <w:rsid w:val="003715CE"/>
    <w:rsid w:val="0037298B"/>
    <w:rsid w:val="003759EE"/>
    <w:rsid w:val="003813BF"/>
    <w:rsid w:val="00382B90"/>
    <w:rsid w:val="003859A2"/>
    <w:rsid w:val="003878D1"/>
    <w:rsid w:val="00390A4D"/>
    <w:rsid w:val="003911B3"/>
    <w:rsid w:val="0039133C"/>
    <w:rsid w:val="00393298"/>
    <w:rsid w:val="003943C7"/>
    <w:rsid w:val="003A02B8"/>
    <w:rsid w:val="003A11D0"/>
    <w:rsid w:val="003B3E5E"/>
    <w:rsid w:val="003C1FC6"/>
    <w:rsid w:val="003D3522"/>
    <w:rsid w:val="003D45D6"/>
    <w:rsid w:val="003D51A1"/>
    <w:rsid w:val="003D57CA"/>
    <w:rsid w:val="003D66A4"/>
    <w:rsid w:val="003D6E1F"/>
    <w:rsid w:val="003E1EDE"/>
    <w:rsid w:val="003E3227"/>
    <w:rsid w:val="003E64BB"/>
    <w:rsid w:val="003E6A6E"/>
    <w:rsid w:val="003E7494"/>
    <w:rsid w:val="003F060C"/>
    <w:rsid w:val="003F0CFE"/>
    <w:rsid w:val="003F4273"/>
    <w:rsid w:val="003F48C2"/>
    <w:rsid w:val="003F5109"/>
    <w:rsid w:val="003F5225"/>
    <w:rsid w:val="003F5E87"/>
    <w:rsid w:val="003F60A9"/>
    <w:rsid w:val="003F71DF"/>
    <w:rsid w:val="00400EA0"/>
    <w:rsid w:val="004020C0"/>
    <w:rsid w:val="0040523A"/>
    <w:rsid w:val="00411EA3"/>
    <w:rsid w:val="00412278"/>
    <w:rsid w:val="00413EE7"/>
    <w:rsid w:val="004171C0"/>
    <w:rsid w:val="00422638"/>
    <w:rsid w:val="00423A67"/>
    <w:rsid w:val="00423B92"/>
    <w:rsid w:val="00425A37"/>
    <w:rsid w:val="004300B7"/>
    <w:rsid w:val="00430DFA"/>
    <w:rsid w:val="00433F1B"/>
    <w:rsid w:val="00435013"/>
    <w:rsid w:val="0044126C"/>
    <w:rsid w:val="004419EF"/>
    <w:rsid w:val="00441BB1"/>
    <w:rsid w:val="00442F90"/>
    <w:rsid w:val="00446E3B"/>
    <w:rsid w:val="00452887"/>
    <w:rsid w:val="004546D2"/>
    <w:rsid w:val="004556E3"/>
    <w:rsid w:val="00455ABD"/>
    <w:rsid w:val="00457EE3"/>
    <w:rsid w:val="0046085B"/>
    <w:rsid w:val="00460D5B"/>
    <w:rsid w:val="004647E4"/>
    <w:rsid w:val="00464842"/>
    <w:rsid w:val="00467122"/>
    <w:rsid w:val="00470F97"/>
    <w:rsid w:val="00471B53"/>
    <w:rsid w:val="00475AC4"/>
    <w:rsid w:val="004762C3"/>
    <w:rsid w:val="00477BB4"/>
    <w:rsid w:val="00477BF3"/>
    <w:rsid w:val="004802E9"/>
    <w:rsid w:val="0048376A"/>
    <w:rsid w:val="0048491F"/>
    <w:rsid w:val="00485156"/>
    <w:rsid w:val="004861AC"/>
    <w:rsid w:val="00486561"/>
    <w:rsid w:val="00490CEF"/>
    <w:rsid w:val="00493C96"/>
    <w:rsid w:val="0049520E"/>
    <w:rsid w:val="0049718A"/>
    <w:rsid w:val="004973EE"/>
    <w:rsid w:val="004A2497"/>
    <w:rsid w:val="004A2C44"/>
    <w:rsid w:val="004A34ED"/>
    <w:rsid w:val="004A43F2"/>
    <w:rsid w:val="004A47DC"/>
    <w:rsid w:val="004A7375"/>
    <w:rsid w:val="004B2C30"/>
    <w:rsid w:val="004B3A46"/>
    <w:rsid w:val="004B4A55"/>
    <w:rsid w:val="004B5B90"/>
    <w:rsid w:val="004B5EA1"/>
    <w:rsid w:val="004B609E"/>
    <w:rsid w:val="004B6BF9"/>
    <w:rsid w:val="004B71EF"/>
    <w:rsid w:val="004D11F2"/>
    <w:rsid w:val="004D27CE"/>
    <w:rsid w:val="004D294D"/>
    <w:rsid w:val="004D33E4"/>
    <w:rsid w:val="004D3981"/>
    <w:rsid w:val="004D5D71"/>
    <w:rsid w:val="004D7068"/>
    <w:rsid w:val="004D710A"/>
    <w:rsid w:val="004E1D14"/>
    <w:rsid w:val="004E448C"/>
    <w:rsid w:val="004F423E"/>
    <w:rsid w:val="004F553C"/>
    <w:rsid w:val="004F59C9"/>
    <w:rsid w:val="00501F5B"/>
    <w:rsid w:val="00503782"/>
    <w:rsid w:val="00503F49"/>
    <w:rsid w:val="00505D36"/>
    <w:rsid w:val="00505F73"/>
    <w:rsid w:val="0050710A"/>
    <w:rsid w:val="00510312"/>
    <w:rsid w:val="005106CC"/>
    <w:rsid w:val="00511867"/>
    <w:rsid w:val="0051248C"/>
    <w:rsid w:val="00513098"/>
    <w:rsid w:val="00514E17"/>
    <w:rsid w:val="00515E5F"/>
    <w:rsid w:val="00523D60"/>
    <w:rsid w:val="00523DE1"/>
    <w:rsid w:val="00524A1D"/>
    <w:rsid w:val="00532E40"/>
    <w:rsid w:val="0053459B"/>
    <w:rsid w:val="0053499B"/>
    <w:rsid w:val="00535010"/>
    <w:rsid w:val="00544A6A"/>
    <w:rsid w:val="00545B90"/>
    <w:rsid w:val="00546EB3"/>
    <w:rsid w:val="00551604"/>
    <w:rsid w:val="00553203"/>
    <w:rsid w:val="005539B8"/>
    <w:rsid w:val="0055589E"/>
    <w:rsid w:val="0055598F"/>
    <w:rsid w:val="0055684C"/>
    <w:rsid w:val="005606C7"/>
    <w:rsid w:val="00570638"/>
    <w:rsid w:val="005712BF"/>
    <w:rsid w:val="00571B41"/>
    <w:rsid w:val="005724CE"/>
    <w:rsid w:val="0057252C"/>
    <w:rsid w:val="00574BC1"/>
    <w:rsid w:val="00575531"/>
    <w:rsid w:val="00575EF7"/>
    <w:rsid w:val="00577E1D"/>
    <w:rsid w:val="0058011A"/>
    <w:rsid w:val="00582345"/>
    <w:rsid w:val="0058272F"/>
    <w:rsid w:val="00585306"/>
    <w:rsid w:val="0058578D"/>
    <w:rsid w:val="00585DE6"/>
    <w:rsid w:val="00586333"/>
    <w:rsid w:val="00587E60"/>
    <w:rsid w:val="00590824"/>
    <w:rsid w:val="00590A53"/>
    <w:rsid w:val="00596556"/>
    <w:rsid w:val="005A077A"/>
    <w:rsid w:val="005A228B"/>
    <w:rsid w:val="005A2FC8"/>
    <w:rsid w:val="005A345B"/>
    <w:rsid w:val="005A4201"/>
    <w:rsid w:val="005B0001"/>
    <w:rsid w:val="005B0816"/>
    <w:rsid w:val="005B163C"/>
    <w:rsid w:val="005B5FE7"/>
    <w:rsid w:val="005B70AD"/>
    <w:rsid w:val="005B7C6E"/>
    <w:rsid w:val="005C0BB5"/>
    <w:rsid w:val="005D10AE"/>
    <w:rsid w:val="005D2920"/>
    <w:rsid w:val="005D53D2"/>
    <w:rsid w:val="005D57D0"/>
    <w:rsid w:val="005D7CFF"/>
    <w:rsid w:val="005E0730"/>
    <w:rsid w:val="005E308C"/>
    <w:rsid w:val="005E49BD"/>
    <w:rsid w:val="005E5106"/>
    <w:rsid w:val="005E531A"/>
    <w:rsid w:val="005E5E98"/>
    <w:rsid w:val="005E75C1"/>
    <w:rsid w:val="005F2470"/>
    <w:rsid w:val="005F2BE8"/>
    <w:rsid w:val="005F3797"/>
    <w:rsid w:val="006227EB"/>
    <w:rsid w:val="00623973"/>
    <w:rsid w:val="00625369"/>
    <w:rsid w:val="006318C3"/>
    <w:rsid w:val="0064228E"/>
    <w:rsid w:val="00642FFB"/>
    <w:rsid w:val="00646453"/>
    <w:rsid w:val="006466F9"/>
    <w:rsid w:val="006474C1"/>
    <w:rsid w:val="00652716"/>
    <w:rsid w:val="006552BC"/>
    <w:rsid w:val="006576C0"/>
    <w:rsid w:val="00660B4E"/>
    <w:rsid w:val="00661693"/>
    <w:rsid w:val="00666BDC"/>
    <w:rsid w:val="00667772"/>
    <w:rsid w:val="00670283"/>
    <w:rsid w:val="00670BD3"/>
    <w:rsid w:val="00671CAC"/>
    <w:rsid w:val="00675335"/>
    <w:rsid w:val="006758D9"/>
    <w:rsid w:val="00681915"/>
    <w:rsid w:val="00681CC8"/>
    <w:rsid w:val="006824D4"/>
    <w:rsid w:val="00687641"/>
    <w:rsid w:val="00687ADB"/>
    <w:rsid w:val="00691DBC"/>
    <w:rsid w:val="00692248"/>
    <w:rsid w:val="00692EA1"/>
    <w:rsid w:val="00693C82"/>
    <w:rsid w:val="00693CA8"/>
    <w:rsid w:val="00695ADE"/>
    <w:rsid w:val="006961CF"/>
    <w:rsid w:val="006A3B6D"/>
    <w:rsid w:val="006A4667"/>
    <w:rsid w:val="006A51F8"/>
    <w:rsid w:val="006A6F3C"/>
    <w:rsid w:val="006A7C47"/>
    <w:rsid w:val="006B17D2"/>
    <w:rsid w:val="006B2D48"/>
    <w:rsid w:val="006B4020"/>
    <w:rsid w:val="006B4944"/>
    <w:rsid w:val="006B6688"/>
    <w:rsid w:val="006B67D9"/>
    <w:rsid w:val="006B68DD"/>
    <w:rsid w:val="006C03EF"/>
    <w:rsid w:val="006C257F"/>
    <w:rsid w:val="006C3B31"/>
    <w:rsid w:val="006C5ABF"/>
    <w:rsid w:val="006C7264"/>
    <w:rsid w:val="006C7297"/>
    <w:rsid w:val="006D31A1"/>
    <w:rsid w:val="006D430A"/>
    <w:rsid w:val="006E0492"/>
    <w:rsid w:val="006E049D"/>
    <w:rsid w:val="006E14BA"/>
    <w:rsid w:val="006E2EF5"/>
    <w:rsid w:val="006E432C"/>
    <w:rsid w:val="006E54F9"/>
    <w:rsid w:val="006E652F"/>
    <w:rsid w:val="006E6A92"/>
    <w:rsid w:val="006E74BC"/>
    <w:rsid w:val="006F0EF8"/>
    <w:rsid w:val="006F1922"/>
    <w:rsid w:val="006F1F5F"/>
    <w:rsid w:val="006F2FFC"/>
    <w:rsid w:val="006F7175"/>
    <w:rsid w:val="006F7952"/>
    <w:rsid w:val="006F7987"/>
    <w:rsid w:val="00704FA1"/>
    <w:rsid w:val="00706BC9"/>
    <w:rsid w:val="00711B78"/>
    <w:rsid w:val="00714C79"/>
    <w:rsid w:val="007154E7"/>
    <w:rsid w:val="00716E9C"/>
    <w:rsid w:val="00723689"/>
    <w:rsid w:val="0072741A"/>
    <w:rsid w:val="00727BD3"/>
    <w:rsid w:val="00730032"/>
    <w:rsid w:val="0073077A"/>
    <w:rsid w:val="00730E1C"/>
    <w:rsid w:val="00731C0D"/>
    <w:rsid w:val="00734DA1"/>
    <w:rsid w:val="007357F3"/>
    <w:rsid w:val="00735F0F"/>
    <w:rsid w:val="00735F74"/>
    <w:rsid w:val="0073637E"/>
    <w:rsid w:val="007363C9"/>
    <w:rsid w:val="00736FB5"/>
    <w:rsid w:val="00740FAF"/>
    <w:rsid w:val="00743DDB"/>
    <w:rsid w:val="0074729A"/>
    <w:rsid w:val="00751C59"/>
    <w:rsid w:val="00752600"/>
    <w:rsid w:val="007540EB"/>
    <w:rsid w:val="00756207"/>
    <w:rsid w:val="007568E5"/>
    <w:rsid w:val="0075761D"/>
    <w:rsid w:val="00764DAE"/>
    <w:rsid w:val="007654D6"/>
    <w:rsid w:val="007666FA"/>
    <w:rsid w:val="00767E9B"/>
    <w:rsid w:val="00772273"/>
    <w:rsid w:val="007742D6"/>
    <w:rsid w:val="007749C4"/>
    <w:rsid w:val="00775E35"/>
    <w:rsid w:val="007815F8"/>
    <w:rsid w:val="0078428E"/>
    <w:rsid w:val="007855D9"/>
    <w:rsid w:val="00787E49"/>
    <w:rsid w:val="0079087C"/>
    <w:rsid w:val="0079235F"/>
    <w:rsid w:val="00795D32"/>
    <w:rsid w:val="0079681D"/>
    <w:rsid w:val="007A19AC"/>
    <w:rsid w:val="007A31CB"/>
    <w:rsid w:val="007A7427"/>
    <w:rsid w:val="007A7503"/>
    <w:rsid w:val="007B283A"/>
    <w:rsid w:val="007B3A5A"/>
    <w:rsid w:val="007B79AD"/>
    <w:rsid w:val="007B7FD8"/>
    <w:rsid w:val="007C11A8"/>
    <w:rsid w:val="007C510F"/>
    <w:rsid w:val="007C5813"/>
    <w:rsid w:val="007C5898"/>
    <w:rsid w:val="007C5D7B"/>
    <w:rsid w:val="007C617D"/>
    <w:rsid w:val="007D0D19"/>
    <w:rsid w:val="007D13C5"/>
    <w:rsid w:val="007E1AED"/>
    <w:rsid w:val="007E2529"/>
    <w:rsid w:val="007F25A8"/>
    <w:rsid w:val="007F485B"/>
    <w:rsid w:val="007F549E"/>
    <w:rsid w:val="007F6ED9"/>
    <w:rsid w:val="007F741D"/>
    <w:rsid w:val="008009B9"/>
    <w:rsid w:val="008020FA"/>
    <w:rsid w:val="00804B2B"/>
    <w:rsid w:val="00807817"/>
    <w:rsid w:val="008108E0"/>
    <w:rsid w:val="00811B42"/>
    <w:rsid w:val="0081294F"/>
    <w:rsid w:val="008152DB"/>
    <w:rsid w:val="00816E7A"/>
    <w:rsid w:val="00817A68"/>
    <w:rsid w:val="00817D34"/>
    <w:rsid w:val="008220EB"/>
    <w:rsid w:val="00822609"/>
    <w:rsid w:val="00824F56"/>
    <w:rsid w:val="00826CD2"/>
    <w:rsid w:val="008304A7"/>
    <w:rsid w:val="0083066E"/>
    <w:rsid w:val="00830ECC"/>
    <w:rsid w:val="00832CB6"/>
    <w:rsid w:val="008347C2"/>
    <w:rsid w:val="00834F58"/>
    <w:rsid w:val="00835DDC"/>
    <w:rsid w:val="00837BBE"/>
    <w:rsid w:val="00845CF7"/>
    <w:rsid w:val="00850E65"/>
    <w:rsid w:val="008601FE"/>
    <w:rsid w:val="0086022F"/>
    <w:rsid w:val="00861267"/>
    <w:rsid w:val="008634B4"/>
    <w:rsid w:val="008651E2"/>
    <w:rsid w:val="008714E3"/>
    <w:rsid w:val="00873363"/>
    <w:rsid w:val="0087534A"/>
    <w:rsid w:val="00876C4D"/>
    <w:rsid w:val="0088410B"/>
    <w:rsid w:val="00886E4F"/>
    <w:rsid w:val="0089056D"/>
    <w:rsid w:val="00892246"/>
    <w:rsid w:val="008925BF"/>
    <w:rsid w:val="00894324"/>
    <w:rsid w:val="00896E69"/>
    <w:rsid w:val="008A0C35"/>
    <w:rsid w:val="008A1ED1"/>
    <w:rsid w:val="008A2AA2"/>
    <w:rsid w:val="008A357F"/>
    <w:rsid w:val="008A381B"/>
    <w:rsid w:val="008A53D8"/>
    <w:rsid w:val="008A7733"/>
    <w:rsid w:val="008B2242"/>
    <w:rsid w:val="008B5EB7"/>
    <w:rsid w:val="008B6491"/>
    <w:rsid w:val="008B679C"/>
    <w:rsid w:val="008B747A"/>
    <w:rsid w:val="008C4911"/>
    <w:rsid w:val="008C52D8"/>
    <w:rsid w:val="008C5385"/>
    <w:rsid w:val="008C5CBE"/>
    <w:rsid w:val="008C66BB"/>
    <w:rsid w:val="008C7D03"/>
    <w:rsid w:val="008C7D70"/>
    <w:rsid w:val="008D16BA"/>
    <w:rsid w:val="008D42D9"/>
    <w:rsid w:val="008D4420"/>
    <w:rsid w:val="008D5FE2"/>
    <w:rsid w:val="008D62D7"/>
    <w:rsid w:val="008D740F"/>
    <w:rsid w:val="008D7540"/>
    <w:rsid w:val="008E0F14"/>
    <w:rsid w:val="008E1A58"/>
    <w:rsid w:val="008E1DAC"/>
    <w:rsid w:val="008E22C5"/>
    <w:rsid w:val="008E70DF"/>
    <w:rsid w:val="008E7D63"/>
    <w:rsid w:val="008F1286"/>
    <w:rsid w:val="008F141C"/>
    <w:rsid w:val="008F3893"/>
    <w:rsid w:val="008F7C8F"/>
    <w:rsid w:val="00903035"/>
    <w:rsid w:val="0090410D"/>
    <w:rsid w:val="00906F11"/>
    <w:rsid w:val="009073DB"/>
    <w:rsid w:val="00910459"/>
    <w:rsid w:val="009118A1"/>
    <w:rsid w:val="00911A3D"/>
    <w:rsid w:val="00911D95"/>
    <w:rsid w:val="00913986"/>
    <w:rsid w:val="0091480D"/>
    <w:rsid w:val="0091586F"/>
    <w:rsid w:val="009176F8"/>
    <w:rsid w:val="00920C54"/>
    <w:rsid w:val="00921D89"/>
    <w:rsid w:val="00922F58"/>
    <w:rsid w:val="0092402B"/>
    <w:rsid w:val="0092466A"/>
    <w:rsid w:val="009259A8"/>
    <w:rsid w:val="00932EDC"/>
    <w:rsid w:val="0093528F"/>
    <w:rsid w:val="0093612E"/>
    <w:rsid w:val="009364BC"/>
    <w:rsid w:val="00937B04"/>
    <w:rsid w:val="00941798"/>
    <w:rsid w:val="00941B22"/>
    <w:rsid w:val="00941D62"/>
    <w:rsid w:val="00942BC6"/>
    <w:rsid w:val="0094548C"/>
    <w:rsid w:val="00945EB2"/>
    <w:rsid w:val="00953F25"/>
    <w:rsid w:val="009550E8"/>
    <w:rsid w:val="00955527"/>
    <w:rsid w:val="009557D4"/>
    <w:rsid w:val="00955B34"/>
    <w:rsid w:val="009617E0"/>
    <w:rsid w:val="00965736"/>
    <w:rsid w:val="00965FA1"/>
    <w:rsid w:val="00966163"/>
    <w:rsid w:val="009707D3"/>
    <w:rsid w:val="00973D1F"/>
    <w:rsid w:val="0097460C"/>
    <w:rsid w:val="009765F2"/>
    <w:rsid w:val="00981D84"/>
    <w:rsid w:val="00982172"/>
    <w:rsid w:val="00982E88"/>
    <w:rsid w:val="00983FE5"/>
    <w:rsid w:val="00986ACD"/>
    <w:rsid w:val="00990404"/>
    <w:rsid w:val="00992284"/>
    <w:rsid w:val="00992623"/>
    <w:rsid w:val="009950B2"/>
    <w:rsid w:val="00995179"/>
    <w:rsid w:val="009A1B91"/>
    <w:rsid w:val="009A1F13"/>
    <w:rsid w:val="009A4E82"/>
    <w:rsid w:val="009A7685"/>
    <w:rsid w:val="009B0950"/>
    <w:rsid w:val="009B2A08"/>
    <w:rsid w:val="009C2141"/>
    <w:rsid w:val="009C3B75"/>
    <w:rsid w:val="009C4E40"/>
    <w:rsid w:val="009C5448"/>
    <w:rsid w:val="009C74E1"/>
    <w:rsid w:val="009C7E08"/>
    <w:rsid w:val="009D0659"/>
    <w:rsid w:val="009D19F5"/>
    <w:rsid w:val="009D367F"/>
    <w:rsid w:val="009D52C8"/>
    <w:rsid w:val="009D5498"/>
    <w:rsid w:val="009D635E"/>
    <w:rsid w:val="009D6D3C"/>
    <w:rsid w:val="009D78E7"/>
    <w:rsid w:val="009E30AF"/>
    <w:rsid w:val="009E5EDB"/>
    <w:rsid w:val="009F2520"/>
    <w:rsid w:val="009F26A2"/>
    <w:rsid w:val="009F3153"/>
    <w:rsid w:val="009F32A5"/>
    <w:rsid w:val="009F39FD"/>
    <w:rsid w:val="009F6E26"/>
    <w:rsid w:val="00A0195E"/>
    <w:rsid w:val="00A0321A"/>
    <w:rsid w:val="00A03625"/>
    <w:rsid w:val="00A036E7"/>
    <w:rsid w:val="00A03BC7"/>
    <w:rsid w:val="00A05C2B"/>
    <w:rsid w:val="00A064AA"/>
    <w:rsid w:val="00A129DA"/>
    <w:rsid w:val="00A163BF"/>
    <w:rsid w:val="00A165C9"/>
    <w:rsid w:val="00A16A13"/>
    <w:rsid w:val="00A20506"/>
    <w:rsid w:val="00A20D24"/>
    <w:rsid w:val="00A22BEB"/>
    <w:rsid w:val="00A23CCA"/>
    <w:rsid w:val="00A258BD"/>
    <w:rsid w:val="00A30346"/>
    <w:rsid w:val="00A30DAD"/>
    <w:rsid w:val="00A30E85"/>
    <w:rsid w:val="00A32B57"/>
    <w:rsid w:val="00A33A08"/>
    <w:rsid w:val="00A35535"/>
    <w:rsid w:val="00A35699"/>
    <w:rsid w:val="00A3617D"/>
    <w:rsid w:val="00A375B9"/>
    <w:rsid w:val="00A42753"/>
    <w:rsid w:val="00A4294A"/>
    <w:rsid w:val="00A43546"/>
    <w:rsid w:val="00A45C1B"/>
    <w:rsid w:val="00A47021"/>
    <w:rsid w:val="00A509C8"/>
    <w:rsid w:val="00A50E93"/>
    <w:rsid w:val="00A51DA0"/>
    <w:rsid w:val="00A52DF4"/>
    <w:rsid w:val="00A5389E"/>
    <w:rsid w:val="00A57694"/>
    <w:rsid w:val="00A61584"/>
    <w:rsid w:val="00A62ED4"/>
    <w:rsid w:val="00A64F2F"/>
    <w:rsid w:val="00A654AE"/>
    <w:rsid w:val="00A66A27"/>
    <w:rsid w:val="00A66EB5"/>
    <w:rsid w:val="00A71ED6"/>
    <w:rsid w:val="00A72D63"/>
    <w:rsid w:val="00A7389F"/>
    <w:rsid w:val="00A752DD"/>
    <w:rsid w:val="00A75366"/>
    <w:rsid w:val="00A825B8"/>
    <w:rsid w:val="00A83DB2"/>
    <w:rsid w:val="00A87165"/>
    <w:rsid w:val="00A93486"/>
    <w:rsid w:val="00A9499E"/>
    <w:rsid w:val="00A9531F"/>
    <w:rsid w:val="00A97CBE"/>
    <w:rsid w:val="00AA0299"/>
    <w:rsid w:val="00AA1810"/>
    <w:rsid w:val="00AA185F"/>
    <w:rsid w:val="00AB2EEE"/>
    <w:rsid w:val="00AB30E1"/>
    <w:rsid w:val="00AB3789"/>
    <w:rsid w:val="00AB593B"/>
    <w:rsid w:val="00AB61E9"/>
    <w:rsid w:val="00AC5943"/>
    <w:rsid w:val="00AC66FD"/>
    <w:rsid w:val="00AD04D9"/>
    <w:rsid w:val="00AD09BB"/>
    <w:rsid w:val="00AD129F"/>
    <w:rsid w:val="00AD21C0"/>
    <w:rsid w:val="00AD228F"/>
    <w:rsid w:val="00AD4698"/>
    <w:rsid w:val="00AD4747"/>
    <w:rsid w:val="00AD7A89"/>
    <w:rsid w:val="00AE20F9"/>
    <w:rsid w:val="00AE23C1"/>
    <w:rsid w:val="00AE2A0F"/>
    <w:rsid w:val="00AE302D"/>
    <w:rsid w:val="00AE4289"/>
    <w:rsid w:val="00AE58C2"/>
    <w:rsid w:val="00AE68E7"/>
    <w:rsid w:val="00AE7A26"/>
    <w:rsid w:val="00AE7BA6"/>
    <w:rsid w:val="00AF108D"/>
    <w:rsid w:val="00B002A2"/>
    <w:rsid w:val="00B027F5"/>
    <w:rsid w:val="00B056F6"/>
    <w:rsid w:val="00B05D74"/>
    <w:rsid w:val="00B066A7"/>
    <w:rsid w:val="00B0670B"/>
    <w:rsid w:val="00B1062B"/>
    <w:rsid w:val="00B10E94"/>
    <w:rsid w:val="00B10EEE"/>
    <w:rsid w:val="00B12DAA"/>
    <w:rsid w:val="00B14464"/>
    <w:rsid w:val="00B1460E"/>
    <w:rsid w:val="00B21786"/>
    <w:rsid w:val="00B2184C"/>
    <w:rsid w:val="00B2215C"/>
    <w:rsid w:val="00B23833"/>
    <w:rsid w:val="00B2434F"/>
    <w:rsid w:val="00B35471"/>
    <w:rsid w:val="00B355AE"/>
    <w:rsid w:val="00B36FF0"/>
    <w:rsid w:val="00B37DEA"/>
    <w:rsid w:val="00B41463"/>
    <w:rsid w:val="00B42807"/>
    <w:rsid w:val="00B440C4"/>
    <w:rsid w:val="00B47E54"/>
    <w:rsid w:val="00B50FB5"/>
    <w:rsid w:val="00B51192"/>
    <w:rsid w:val="00B523A2"/>
    <w:rsid w:val="00B554E7"/>
    <w:rsid w:val="00B56CBA"/>
    <w:rsid w:val="00B60981"/>
    <w:rsid w:val="00B65F65"/>
    <w:rsid w:val="00B721EB"/>
    <w:rsid w:val="00B7255B"/>
    <w:rsid w:val="00B75366"/>
    <w:rsid w:val="00B7655D"/>
    <w:rsid w:val="00B7692F"/>
    <w:rsid w:val="00B808BC"/>
    <w:rsid w:val="00B82325"/>
    <w:rsid w:val="00B8246B"/>
    <w:rsid w:val="00B86BE0"/>
    <w:rsid w:val="00B87FCC"/>
    <w:rsid w:val="00B9019B"/>
    <w:rsid w:val="00B9207A"/>
    <w:rsid w:val="00B93FD7"/>
    <w:rsid w:val="00B9579E"/>
    <w:rsid w:val="00B96B4A"/>
    <w:rsid w:val="00BA4C4D"/>
    <w:rsid w:val="00BA5124"/>
    <w:rsid w:val="00BA580D"/>
    <w:rsid w:val="00BA75F8"/>
    <w:rsid w:val="00BB1877"/>
    <w:rsid w:val="00BB60A6"/>
    <w:rsid w:val="00BC11E2"/>
    <w:rsid w:val="00BC2015"/>
    <w:rsid w:val="00BC6232"/>
    <w:rsid w:val="00BD0480"/>
    <w:rsid w:val="00BD551A"/>
    <w:rsid w:val="00BD62B3"/>
    <w:rsid w:val="00BD7143"/>
    <w:rsid w:val="00BD7D7B"/>
    <w:rsid w:val="00BE1742"/>
    <w:rsid w:val="00BF0463"/>
    <w:rsid w:val="00BF0546"/>
    <w:rsid w:val="00BF063F"/>
    <w:rsid w:val="00BF3560"/>
    <w:rsid w:val="00BF60A0"/>
    <w:rsid w:val="00BF62A9"/>
    <w:rsid w:val="00BF72CE"/>
    <w:rsid w:val="00BF7F44"/>
    <w:rsid w:val="00C03877"/>
    <w:rsid w:val="00C04C02"/>
    <w:rsid w:val="00C128A3"/>
    <w:rsid w:val="00C14333"/>
    <w:rsid w:val="00C20A02"/>
    <w:rsid w:val="00C20ABA"/>
    <w:rsid w:val="00C2495A"/>
    <w:rsid w:val="00C2688C"/>
    <w:rsid w:val="00C32C76"/>
    <w:rsid w:val="00C331B8"/>
    <w:rsid w:val="00C33573"/>
    <w:rsid w:val="00C36E66"/>
    <w:rsid w:val="00C4010E"/>
    <w:rsid w:val="00C426BE"/>
    <w:rsid w:val="00C43F69"/>
    <w:rsid w:val="00C458D3"/>
    <w:rsid w:val="00C551F7"/>
    <w:rsid w:val="00C61730"/>
    <w:rsid w:val="00C6398B"/>
    <w:rsid w:val="00C639DE"/>
    <w:rsid w:val="00C7039E"/>
    <w:rsid w:val="00C713B1"/>
    <w:rsid w:val="00C714EA"/>
    <w:rsid w:val="00C761E7"/>
    <w:rsid w:val="00C76488"/>
    <w:rsid w:val="00C769B1"/>
    <w:rsid w:val="00C81417"/>
    <w:rsid w:val="00C8229D"/>
    <w:rsid w:val="00C85F95"/>
    <w:rsid w:val="00C866C7"/>
    <w:rsid w:val="00C873D8"/>
    <w:rsid w:val="00C87A1A"/>
    <w:rsid w:val="00C90FBA"/>
    <w:rsid w:val="00C91568"/>
    <w:rsid w:val="00C92802"/>
    <w:rsid w:val="00C92A20"/>
    <w:rsid w:val="00C93839"/>
    <w:rsid w:val="00C94118"/>
    <w:rsid w:val="00C95477"/>
    <w:rsid w:val="00C960AC"/>
    <w:rsid w:val="00CA0556"/>
    <w:rsid w:val="00CA24BA"/>
    <w:rsid w:val="00CA4A9B"/>
    <w:rsid w:val="00CA77E2"/>
    <w:rsid w:val="00CA7B75"/>
    <w:rsid w:val="00CB0935"/>
    <w:rsid w:val="00CB17C1"/>
    <w:rsid w:val="00CB315A"/>
    <w:rsid w:val="00CB5B22"/>
    <w:rsid w:val="00CB776F"/>
    <w:rsid w:val="00CC0FB7"/>
    <w:rsid w:val="00CC4789"/>
    <w:rsid w:val="00CD3E6A"/>
    <w:rsid w:val="00CD6F50"/>
    <w:rsid w:val="00CE07FE"/>
    <w:rsid w:val="00CE0F5D"/>
    <w:rsid w:val="00CE2899"/>
    <w:rsid w:val="00CE2BEF"/>
    <w:rsid w:val="00CE43EA"/>
    <w:rsid w:val="00CF3AF7"/>
    <w:rsid w:val="00CF52E9"/>
    <w:rsid w:val="00CF5936"/>
    <w:rsid w:val="00CF7D43"/>
    <w:rsid w:val="00D01458"/>
    <w:rsid w:val="00D045D7"/>
    <w:rsid w:val="00D053D5"/>
    <w:rsid w:val="00D10304"/>
    <w:rsid w:val="00D10316"/>
    <w:rsid w:val="00D1068C"/>
    <w:rsid w:val="00D10929"/>
    <w:rsid w:val="00D1249E"/>
    <w:rsid w:val="00D13960"/>
    <w:rsid w:val="00D14344"/>
    <w:rsid w:val="00D148D4"/>
    <w:rsid w:val="00D15E00"/>
    <w:rsid w:val="00D172DE"/>
    <w:rsid w:val="00D20AF5"/>
    <w:rsid w:val="00D216BE"/>
    <w:rsid w:val="00D23EB2"/>
    <w:rsid w:val="00D26336"/>
    <w:rsid w:val="00D31A7D"/>
    <w:rsid w:val="00D31AB8"/>
    <w:rsid w:val="00D33176"/>
    <w:rsid w:val="00D33A4E"/>
    <w:rsid w:val="00D36873"/>
    <w:rsid w:val="00D37954"/>
    <w:rsid w:val="00D44399"/>
    <w:rsid w:val="00D4495F"/>
    <w:rsid w:val="00D50E60"/>
    <w:rsid w:val="00D534C9"/>
    <w:rsid w:val="00D54750"/>
    <w:rsid w:val="00D55C9A"/>
    <w:rsid w:val="00D578F0"/>
    <w:rsid w:val="00D60EBE"/>
    <w:rsid w:val="00D61273"/>
    <w:rsid w:val="00D624B3"/>
    <w:rsid w:val="00D6335B"/>
    <w:rsid w:val="00D653CB"/>
    <w:rsid w:val="00D671AF"/>
    <w:rsid w:val="00D701C2"/>
    <w:rsid w:val="00D74C09"/>
    <w:rsid w:val="00D76C6F"/>
    <w:rsid w:val="00D80D61"/>
    <w:rsid w:val="00D81883"/>
    <w:rsid w:val="00D81963"/>
    <w:rsid w:val="00D82F8A"/>
    <w:rsid w:val="00D85A6D"/>
    <w:rsid w:val="00D904A4"/>
    <w:rsid w:val="00D92666"/>
    <w:rsid w:val="00D943BE"/>
    <w:rsid w:val="00D94E15"/>
    <w:rsid w:val="00D96162"/>
    <w:rsid w:val="00D96F19"/>
    <w:rsid w:val="00DA2343"/>
    <w:rsid w:val="00DA2A39"/>
    <w:rsid w:val="00DA3388"/>
    <w:rsid w:val="00DA3FF8"/>
    <w:rsid w:val="00DA4A8B"/>
    <w:rsid w:val="00DA5ACC"/>
    <w:rsid w:val="00DA628C"/>
    <w:rsid w:val="00DB43A5"/>
    <w:rsid w:val="00DB47F7"/>
    <w:rsid w:val="00DC09BE"/>
    <w:rsid w:val="00DC2424"/>
    <w:rsid w:val="00DC3C80"/>
    <w:rsid w:val="00DC61C7"/>
    <w:rsid w:val="00DC76A2"/>
    <w:rsid w:val="00DC7EC5"/>
    <w:rsid w:val="00DD0DAD"/>
    <w:rsid w:val="00DD0F58"/>
    <w:rsid w:val="00DD3434"/>
    <w:rsid w:val="00DD3F2A"/>
    <w:rsid w:val="00DD4618"/>
    <w:rsid w:val="00DD7B91"/>
    <w:rsid w:val="00DE1841"/>
    <w:rsid w:val="00DE2713"/>
    <w:rsid w:val="00DE30ED"/>
    <w:rsid w:val="00DE5560"/>
    <w:rsid w:val="00DF4523"/>
    <w:rsid w:val="00DF64B5"/>
    <w:rsid w:val="00DF6E22"/>
    <w:rsid w:val="00DF7E74"/>
    <w:rsid w:val="00E00C8E"/>
    <w:rsid w:val="00E01C56"/>
    <w:rsid w:val="00E0238D"/>
    <w:rsid w:val="00E03346"/>
    <w:rsid w:val="00E03533"/>
    <w:rsid w:val="00E03AE3"/>
    <w:rsid w:val="00E048F1"/>
    <w:rsid w:val="00E067C1"/>
    <w:rsid w:val="00E103C6"/>
    <w:rsid w:val="00E107AD"/>
    <w:rsid w:val="00E1514F"/>
    <w:rsid w:val="00E1634D"/>
    <w:rsid w:val="00E26E41"/>
    <w:rsid w:val="00E277BA"/>
    <w:rsid w:val="00E3049B"/>
    <w:rsid w:val="00E30E19"/>
    <w:rsid w:val="00E34E88"/>
    <w:rsid w:val="00E35B19"/>
    <w:rsid w:val="00E365AE"/>
    <w:rsid w:val="00E37612"/>
    <w:rsid w:val="00E41556"/>
    <w:rsid w:val="00E4176F"/>
    <w:rsid w:val="00E4212A"/>
    <w:rsid w:val="00E42308"/>
    <w:rsid w:val="00E44F72"/>
    <w:rsid w:val="00E457F7"/>
    <w:rsid w:val="00E535A2"/>
    <w:rsid w:val="00E57512"/>
    <w:rsid w:val="00E61EC8"/>
    <w:rsid w:val="00E6248E"/>
    <w:rsid w:val="00E629A1"/>
    <w:rsid w:val="00E64F61"/>
    <w:rsid w:val="00E7035A"/>
    <w:rsid w:val="00E7088F"/>
    <w:rsid w:val="00E70F3B"/>
    <w:rsid w:val="00E70FC7"/>
    <w:rsid w:val="00E72179"/>
    <w:rsid w:val="00E7226C"/>
    <w:rsid w:val="00E73843"/>
    <w:rsid w:val="00E741E7"/>
    <w:rsid w:val="00E76206"/>
    <w:rsid w:val="00E76AF3"/>
    <w:rsid w:val="00E811A1"/>
    <w:rsid w:val="00E83768"/>
    <w:rsid w:val="00E855FC"/>
    <w:rsid w:val="00E914F1"/>
    <w:rsid w:val="00E92044"/>
    <w:rsid w:val="00E921CB"/>
    <w:rsid w:val="00E932B9"/>
    <w:rsid w:val="00E960D8"/>
    <w:rsid w:val="00E96554"/>
    <w:rsid w:val="00E97AC3"/>
    <w:rsid w:val="00EA172E"/>
    <w:rsid w:val="00EA659E"/>
    <w:rsid w:val="00EA65ED"/>
    <w:rsid w:val="00EA7114"/>
    <w:rsid w:val="00EB08C9"/>
    <w:rsid w:val="00EB0EAD"/>
    <w:rsid w:val="00EB1370"/>
    <w:rsid w:val="00EB37CA"/>
    <w:rsid w:val="00EB4E24"/>
    <w:rsid w:val="00EB5AF5"/>
    <w:rsid w:val="00EB5F9D"/>
    <w:rsid w:val="00EB6630"/>
    <w:rsid w:val="00EC3533"/>
    <w:rsid w:val="00EC48D3"/>
    <w:rsid w:val="00EC57BA"/>
    <w:rsid w:val="00EC5A5B"/>
    <w:rsid w:val="00EC6685"/>
    <w:rsid w:val="00ED0FA3"/>
    <w:rsid w:val="00ED1CD7"/>
    <w:rsid w:val="00ED339A"/>
    <w:rsid w:val="00ED4344"/>
    <w:rsid w:val="00ED597F"/>
    <w:rsid w:val="00ED7B39"/>
    <w:rsid w:val="00EE1125"/>
    <w:rsid w:val="00EE68AD"/>
    <w:rsid w:val="00EF0B83"/>
    <w:rsid w:val="00EF23C2"/>
    <w:rsid w:val="00EF286B"/>
    <w:rsid w:val="00EF330D"/>
    <w:rsid w:val="00EF54DF"/>
    <w:rsid w:val="00EF7DFB"/>
    <w:rsid w:val="00F02909"/>
    <w:rsid w:val="00F04681"/>
    <w:rsid w:val="00F04969"/>
    <w:rsid w:val="00F05A12"/>
    <w:rsid w:val="00F07710"/>
    <w:rsid w:val="00F106CE"/>
    <w:rsid w:val="00F112C5"/>
    <w:rsid w:val="00F14E48"/>
    <w:rsid w:val="00F15050"/>
    <w:rsid w:val="00F21F2F"/>
    <w:rsid w:val="00F22D46"/>
    <w:rsid w:val="00F24B9A"/>
    <w:rsid w:val="00F264E3"/>
    <w:rsid w:val="00F27A10"/>
    <w:rsid w:val="00F351AD"/>
    <w:rsid w:val="00F37101"/>
    <w:rsid w:val="00F37F69"/>
    <w:rsid w:val="00F4217D"/>
    <w:rsid w:val="00F46F09"/>
    <w:rsid w:val="00F54666"/>
    <w:rsid w:val="00F5740A"/>
    <w:rsid w:val="00F60E98"/>
    <w:rsid w:val="00F60E9E"/>
    <w:rsid w:val="00F701FC"/>
    <w:rsid w:val="00F74D90"/>
    <w:rsid w:val="00F755FA"/>
    <w:rsid w:val="00F7752A"/>
    <w:rsid w:val="00F7757E"/>
    <w:rsid w:val="00F81B24"/>
    <w:rsid w:val="00F85180"/>
    <w:rsid w:val="00F851DA"/>
    <w:rsid w:val="00F87F14"/>
    <w:rsid w:val="00F931D7"/>
    <w:rsid w:val="00F954D0"/>
    <w:rsid w:val="00F96655"/>
    <w:rsid w:val="00FA1D93"/>
    <w:rsid w:val="00FA276D"/>
    <w:rsid w:val="00FA44A7"/>
    <w:rsid w:val="00FB0C5B"/>
    <w:rsid w:val="00FB286E"/>
    <w:rsid w:val="00FB408E"/>
    <w:rsid w:val="00FB4A61"/>
    <w:rsid w:val="00FB4B7A"/>
    <w:rsid w:val="00FB5072"/>
    <w:rsid w:val="00FB5B94"/>
    <w:rsid w:val="00FC0321"/>
    <w:rsid w:val="00FC3507"/>
    <w:rsid w:val="00FC476D"/>
    <w:rsid w:val="00FD0185"/>
    <w:rsid w:val="00FD1D0D"/>
    <w:rsid w:val="00FD1DB7"/>
    <w:rsid w:val="00FD4E50"/>
    <w:rsid w:val="00FE463F"/>
    <w:rsid w:val="00FE50ED"/>
    <w:rsid w:val="00FE6FA6"/>
    <w:rsid w:val="00FE7883"/>
    <w:rsid w:val="00FF09CB"/>
    <w:rsid w:val="00FF0D57"/>
    <w:rsid w:val="00FF3430"/>
    <w:rsid w:val="00FF41ED"/>
    <w:rsid w:val="00FF57A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B03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9D78E7"/>
    <w:pPr>
      <w:keepNext/>
      <w:keepLines/>
      <w:spacing w:after="0" w:line="240" w:lineRule="auto"/>
      <w:jc w:val="center"/>
      <w:outlineLvl w:val="0"/>
    </w:pPr>
    <w:rPr>
      <w:rFonts w:asciiTheme="majorHAnsi" w:eastAsiaTheme="majorEastAsia" w:hAnsiTheme="majorHAnsi" w:cs="David"/>
      <w:b/>
      <w:bCs/>
      <w:sz w:val="28"/>
      <w:szCs w:val="40"/>
      <w:u w:val="single"/>
    </w:rPr>
  </w:style>
  <w:style w:type="paragraph" w:styleId="Heading2">
    <w:name w:val="heading 2"/>
    <w:basedOn w:val="Normal"/>
    <w:next w:val="Normal"/>
    <w:link w:val="Heading2Char"/>
    <w:uiPriority w:val="9"/>
    <w:unhideWhenUsed/>
    <w:qFormat/>
    <w:rsid w:val="009D78E7"/>
    <w:pPr>
      <w:keepNext/>
      <w:keepLines/>
      <w:numPr>
        <w:numId w:val="4"/>
      </w:numPr>
      <w:spacing w:before="200" w:after="0"/>
      <w:ind w:left="567" w:hanging="567"/>
      <w:outlineLvl w:val="1"/>
    </w:pPr>
    <w:rPr>
      <w:rFonts w:asciiTheme="majorHAnsi" w:eastAsiaTheme="majorEastAsia" w:hAnsiTheme="majorHAnsi" w:cs="David"/>
      <w:b/>
      <w:bCs/>
      <w:sz w:val="26"/>
      <w:szCs w:val="32"/>
      <w:u w:val="single"/>
    </w:rPr>
  </w:style>
  <w:style w:type="paragraph" w:styleId="Heading3">
    <w:name w:val="heading 3"/>
    <w:basedOn w:val="Normal"/>
    <w:next w:val="Normal"/>
    <w:link w:val="Heading3Char"/>
    <w:uiPriority w:val="9"/>
    <w:unhideWhenUsed/>
    <w:qFormat/>
    <w:rsid w:val="009D78E7"/>
    <w:pPr>
      <w:keepNext/>
      <w:keepLines/>
      <w:spacing w:before="120" w:after="0" w:line="360" w:lineRule="auto"/>
      <w:ind w:left="1134" w:hanging="567"/>
      <w:outlineLvl w:val="2"/>
    </w:pPr>
    <w:rPr>
      <w:rFonts w:asciiTheme="majorHAnsi" w:eastAsiaTheme="majorEastAsia" w:hAnsiTheme="majorHAnsi" w:cs="David"/>
      <w:b/>
      <w:bCs/>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5A6D"/>
    <w:pPr>
      <w:ind w:left="720"/>
      <w:contextualSpacing/>
    </w:pPr>
  </w:style>
  <w:style w:type="paragraph" w:styleId="Header">
    <w:name w:val="header"/>
    <w:basedOn w:val="Normal"/>
    <w:link w:val="HeaderChar"/>
    <w:uiPriority w:val="99"/>
    <w:unhideWhenUsed/>
    <w:rsid w:val="009B2A08"/>
    <w:pPr>
      <w:tabs>
        <w:tab w:val="center" w:pos="4153"/>
        <w:tab w:val="right" w:pos="8306"/>
      </w:tabs>
      <w:spacing w:after="0" w:line="240" w:lineRule="auto"/>
    </w:pPr>
  </w:style>
  <w:style w:type="character" w:customStyle="1" w:styleId="HeaderChar">
    <w:name w:val="Header Char"/>
    <w:basedOn w:val="DefaultParagraphFont"/>
    <w:link w:val="Header"/>
    <w:uiPriority w:val="99"/>
    <w:rsid w:val="009B2A08"/>
  </w:style>
  <w:style w:type="paragraph" w:styleId="Footer">
    <w:name w:val="footer"/>
    <w:basedOn w:val="Normal"/>
    <w:link w:val="FooterChar"/>
    <w:uiPriority w:val="99"/>
    <w:unhideWhenUsed/>
    <w:rsid w:val="009B2A08"/>
    <w:pPr>
      <w:tabs>
        <w:tab w:val="center" w:pos="4153"/>
        <w:tab w:val="right" w:pos="8306"/>
      </w:tabs>
      <w:spacing w:after="0" w:line="240" w:lineRule="auto"/>
    </w:pPr>
  </w:style>
  <w:style w:type="character" w:customStyle="1" w:styleId="FooterChar">
    <w:name w:val="Footer Char"/>
    <w:basedOn w:val="DefaultParagraphFont"/>
    <w:link w:val="Footer"/>
    <w:uiPriority w:val="99"/>
    <w:rsid w:val="009B2A08"/>
  </w:style>
  <w:style w:type="paragraph" w:styleId="FootnoteText">
    <w:name w:val="footnote text"/>
    <w:basedOn w:val="Normal"/>
    <w:link w:val="FootnoteTextChar"/>
    <w:uiPriority w:val="99"/>
    <w:semiHidden/>
    <w:unhideWhenUsed/>
    <w:rsid w:val="00B355A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355AE"/>
    <w:rPr>
      <w:sz w:val="20"/>
      <w:szCs w:val="20"/>
    </w:rPr>
  </w:style>
  <w:style w:type="character" w:styleId="FootnoteReference">
    <w:name w:val="footnote reference"/>
    <w:basedOn w:val="DefaultParagraphFont"/>
    <w:uiPriority w:val="99"/>
    <w:semiHidden/>
    <w:unhideWhenUsed/>
    <w:rsid w:val="00B355AE"/>
    <w:rPr>
      <w:vertAlign w:val="superscript"/>
    </w:rPr>
  </w:style>
  <w:style w:type="paragraph" w:styleId="BalloonText">
    <w:name w:val="Balloon Text"/>
    <w:basedOn w:val="Normal"/>
    <w:link w:val="BalloonTextChar"/>
    <w:uiPriority w:val="99"/>
    <w:semiHidden/>
    <w:unhideWhenUsed/>
    <w:rsid w:val="00F150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5050"/>
    <w:rPr>
      <w:rFonts w:ascii="Tahoma" w:hAnsi="Tahoma" w:cs="Tahoma"/>
      <w:sz w:val="16"/>
      <w:szCs w:val="16"/>
    </w:rPr>
  </w:style>
  <w:style w:type="character" w:customStyle="1" w:styleId="Heading2Char">
    <w:name w:val="Heading 2 Char"/>
    <w:basedOn w:val="DefaultParagraphFont"/>
    <w:link w:val="Heading2"/>
    <w:uiPriority w:val="9"/>
    <w:rsid w:val="009D78E7"/>
    <w:rPr>
      <w:rFonts w:asciiTheme="majorHAnsi" w:eastAsiaTheme="majorEastAsia" w:hAnsiTheme="majorHAnsi" w:cs="David"/>
      <w:b/>
      <w:bCs/>
      <w:sz w:val="26"/>
      <w:szCs w:val="32"/>
      <w:u w:val="single"/>
    </w:rPr>
  </w:style>
  <w:style w:type="character" w:customStyle="1" w:styleId="Heading1Char">
    <w:name w:val="Heading 1 Char"/>
    <w:basedOn w:val="DefaultParagraphFont"/>
    <w:link w:val="Heading1"/>
    <w:uiPriority w:val="9"/>
    <w:rsid w:val="009D78E7"/>
    <w:rPr>
      <w:rFonts w:asciiTheme="majorHAnsi" w:eastAsiaTheme="majorEastAsia" w:hAnsiTheme="majorHAnsi" w:cs="David"/>
      <w:b/>
      <w:bCs/>
      <w:sz w:val="28"/>
      <w:szCs w:val="40"/>
      <w:u w:val="single"/>
    </w:rPr>
  </w:style>
  <w:style w:type="character" w:customStyle="1" w:styleId="Heading3Char">
    <w:name w:val="Heading 3 Char"/>
    <w:basedOn w:val="DefaultParagraphFont"/>
    <w:link w:val="Heading3"/>
    <w:uiPriority w:val="9"/>
    <w:rsid w:val="009D78E7"/>
    <w:rPr>
      <w:rFonts w:asciiTheme="majorHAnsi" w:eastAsiaTheme="majorEastAsia" w:hAnsiTheme="majorHAnsi" w:cs="David"/>
      <w:b/>
      <w:bCs/>
      <w:szCs w:val="28"/>
      <w:u w:val="single"/>
    </w:rPr>
  </w:style>
  <w:style w:type="character" w:styleId="CommentReference">
    <w:name w:val="annotation reference"/>
    <w:basedOn w:val="DefaultParagraphFont"/>
    <w:uiPriority w:val="99"/>
    <w:semiHidden/>
    <w:unhideWhenUsed/>
    <w:rsid w:val="003500A0"/>
    <w:rPr>
      <w:sz w:val="16"/>
      <w:szCs w:val="16"/>
    </w:rPr>
  </w:style>
  <w:style w:type="paragraph" w:styleId="CommentText">
    <w:name w:val="annotation text"/>
    <w:basedOn w:val="Normal"/>
    <w:link w:val="CommentTextChar"/>
    <w:uiPriority w:val="99"/>
    <w:semiHidden/>
    <w:unhideWhenUsed/>
    <w:rsid w:val="003500A0"/>
    <w:pPr>
      <w:spacing w:line="240" w:lineRule="auto"/>
    </w:pPr>
    <w:rPr>
      <w:sz w:val="20"/>
      <w:szCs w:val="20"/>
    </w:rPr>
  </w:style>
  <w:style w:type="character" w:customStyle="1" w:styleId="CommentTextChar">
    <w:name w:val="Comment Text Char"/>
    <w:basedOn w:val="DefaultParagraphFont"/>
    <w:link w:val="CommentText"/>
    <w:uiPriority w:val="99"/>
    <w:semiHidden/>
    <w:rsid w:val="003500A0"/>
    <w:rPr>
      <w:sz w:val="20"/>
      <w:szCs w:val="20"/>
    </w:rPr>
  </w:style>
  <w:style w:type="paragraph" w:styleId="CommentSubject">
    <w:name w:val="annotation subject"/>
    <w:basedOn w:val="CommentText"/>
    <w:next w:val="CommentText"/>
    <w:link w:val="CommentSubjectChar"/>
    <w:uiPriority w:val="99"/>
    <w:semiHidden/>
    <w:unhideWhenUsed/>
    <w:rsid w:val="003500A0"/>
    <w:rPr>
      <w:b/>
      <w:bCs/>
    </w:rPr>
  </w:style>
  <w:style w:type="character" w:customStyle="1" w:styleId="CommentSubjectChar">
    <w:name w:val="Comment Subject Char"/>
    <w:basedOn w:val="CommentTextChar"/>
    <w:link w:val="CommentSubject"/>
    <w:uiPriority w:val="99"/>
    <w:semiHidden/>
    <w:rsid w:val="003500A0"/>
    <w:rPr>
      <w:b/>
      <w:bCs/>
      <w:sz w:val="20"/>
      <w:szCs w:val="20"/>
    </w:rPr>
  </w:style>
  <w:style w:type="character" w:customStyle="1" w:styleId="default">
    <w:name w:val="default"/>
    <w:basedOn w:val="DefaultParagraphFont"/>
    <w:rsid w:val="007540EB"/>
    <w:rPr>
      <w:rFonts w:ascii="Times New Roman" w:hAnsi="Times New Roman" w:cs="Times New Roman"/>
      <w:sz w:val="26"/>
      <w:szCs w:val="26"/>
    </w:rPr>
  </w:style>
  <w:style w:type="paragraph" w:customStyle="1" w:styleId="P22">
    <w:name w:val="P22"/>
    <w:basedOn w:val="Normal"/>
    <w:rsid w:val="00F04969"/>
    <w:pPr>
      <w:widowControl w:val="0"/>
      <w:tabs>
        <w:tab w:val="left" w:pos="1474"/>
        <w:tab w:val="left" w:pos="1928"/>
        <w:tab w:val="left" w:pos="2381"/>
        <w:tab w:val="left" w:pos="2835"/>
        <w:tab w:val="right" w:leader="dot" w:pos="6259"/>
      </w:tabs>
      <w:suppressAutoHyphens/>
      <w:autoSpaceDE w:val="0"/>
      <w:autoSpaceDN w:val="0"/>
      <w:spacing w:before="60" w:after="0" w:line="240" w:lineRule="auto"/>
      <w:ind w:left="2835" w:right="1021"/>
      <w:jc w:val="both"/>
    </w:pPr>
    <w:rPr>
      <w:rFonts w:ascii="Times New Roman" w:eastAsia="Times New Roman" w:hAnsi="Times New Roman" w:cs="Times New Roman"/>
      <w:noProof/>
      <w:sz w:val="20"/>
      <w:szCs w:val="26"/>
      <w:lang w:eastAsia="he-IL"/>
    </w:rPr>
  </w:style>
  <w:style w:type="paragraph" w:styleId="Quote">
    <w:name w:val="Quote"/>
    <w:basedOn w:val="Normal"/>
    <w:next w:val="Normal"/>
    <w:link w:val="QuoteChar"/>
    <w:uiPriority w:val="29"/>
    <w:qFormat/>
    <w:rsid w:val="009557D4"/>
    <w:pPr>
      <w:spacing w:before="120" w:after="0" w:line="240" w:lineRule="auto"/>
      <w:ind w:left="567" w:right="567"/>
      <w:jc w:val="both"/>
    </w:pPr>
    <w:rPr>
      <w:rFonts w:cs="David"/>
      <w:b/>
      <w:bCs/>
      <w:sz w:val="24"/>
      <w:szCs w:val="24"/>
    </w:rPr>
  </w:style>
  <w:style w:type="character" w:customStyle="1" w:styleId="QuoteChar">
    <w:name w:val="Quote Char"/>
    <w:basedOn w:val="DefaultParagraphFont"/>
    <w:link w:val="Quote"/>
    <w:uiPriority w:val="29"/>
    <w:rsid w:val="009557D4"/>
    <w:rPr>
      <w:rFonts w:cs="David"/>
      <w:b/>
      <w:bCs/>
      <w:sz w:val="24"/>
      <w:szCs w:val="24"/>
    </w:rPr>
  </w:style>
  <w:style w:type="paragraph" w:customStyle="1" w:styleId="a">
    <w:name w:val="ציטוט באנגלית"/>
    <w:basedOn w:val="Quote"/>
    <w:qFormat/>
    <w:rsid w:val="009557D4"/>
    <w:pPr>
      <w:bidi w:val="0"/>
      <w:spacing w:before="240"/>
    </w:pPr>
    <w:rPr>
      <w:rFonts w:asciiTheme="majorBidi" w:hAnsiTheme="majorBidi" w:cstheme="majorBidi"/>
      <w:bCs w:val="0"/>
    </w:rPr>
  </w:style>
  <w:style w:type="paragraph" w:styleId="Revision">
    <w:name w:val="Revision"/>
    <w:hidden/>
    <w:uiPriority w:val="99"/>
    <w:semiHidden/>
    <w:rsid w:val="002B7963"/>
    <w:pPr>
      <w:spacing w:after="0" w:line="240" w:lineRule="auto"/>
    </w:pPr>
  </w:style>
  <w:style w:type="table" w:styleId="TableGrid">
    <w:name w:val="Table Grid"/>
    <w:basedOn w:val="TableNormal"/>
    <w:uiPriority w:val="59"/>
    <w:rsid w:val="00062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4546D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546D2"/>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9D78E7"/>
    <w:pPr>
      <w:keepNext/>
      <w:keepLines/>
      <w:spacing w:after="0" w:line="240" w:lineRule="auto"/>
      <w:jc w:val="center"/>
      <w:outlineLvl w:val="0"/>
    </w:pPr>
    <w:rPr>
      <w:rFonts w:asciiTheme="majorHAnsi" w:eastAsiaTheme="majorEastAsia" w:hAnsiTheme="majorHAnsi" w:cs="David"/>
      <w:b/>
      <w:bCs/>
      <w:sz w:val="28"/>
      <w:szCs w:val="40"/>
      <w:u w:val="single"/>
    </w:rPr>
  </w:style>
  <w:style w:type="paragraph" w:styleId="Heading2">
    <w:name w:val="heading 2"/>
    <w:basedOn w:val="Normal"/>
    <w:next w:val="Normal"/>
    <w:link w:val="Heading2Char"/>
    <w:uiPriority w:val="9"/>
    <w:unhideWhenUsed/>
    <w:qFormat/>
    <w:rsid w:val="009D78E7"/>
    <w:pPr>
      <w:keepNext/>
      <w:keepLines/>
      <w:numPr>
        <w:numId w:val="4"/>
      </w:numPr>
      <w:spacing w:before="200" w:after="0"/>
      <w:ind w:left="567" w:hanging="567"/>
      <w:outlineLvl w:val="1"/>
    </w:pPr>
    <w:rPr>
      <w:rFonts w:asciiTheme="majorHAnsi" w:eastAsiaTheme="majorEastAsia" w:hAnsiTheme="majorHAnsi" w:cs="David"/>
      <w:b/>
      <w:bCs/>
      <w:sz w:val="26"/>
      <w:szCs w:val="32"/>
      <w:u w:val="single"/>
    </w:rPr>
  </w:style>
  <w:style w:type="paragraph" w:styleId="Heading3">
    <w:name w:val="heading 3"/>
    <w:basedOn w:val="Normal"/>
    <w:next w:val="Normal"/>
    <w:link w:val="Heading3Char"/>
    <w:uiPriority w:val="9"/>
    <w:unhideWhenUsed/>
    <w:qFormat/>
    <w:rsid w:val="009D78E7"/>
    <w:pPr>
      <w:keepNext/>
      <w:keepLines/>
      <w:spacing w:before="120" w:after="0" w:line="360" w:lineRule="auto"/>
      <w:ind w:left="1134" w:hanging="567"/>
      <w:outlineLvl w:val="2"/>
    </w:pPr>
    <w:rPr>
      <w:rFonts w:asciiTheme="majorHAnsi" w:eastAsiaTheme="majorEastAsia" w:hAnsiTheme="majorHAnsi" w:cs="David"/>
      <w:b/>
      <w:bCs/>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5A6D"/>
    <w:pPr>
      <w:ind w:left="720"/>
      <w:contextualSpacing/>
    </w:pPr>
  </w:style>
  <w:style w:type="paragraph" w:styleId="Header">
    <w:name w:val="header"/>
    <w:basedOn w:val="Normal"/>
    <w:link w:val="HeaderChar"/>
    <w:uiPriority w:val="99"/>
    <w:unhideWhenUsed/>
    <w:rsid w:val="009B2A08"/>
    <w:pPr>
      <w:tabs>
        <w:tab w:val="center" w:pos="4153"/>
        <w:tab w:val="right" w:pos="8306"/>
      </w:tabs>
      <w:spacing w:after="0" w:line="240" w:lineRule="auto"/>
    </w:pPr>
  </w:style>
  <w:style w:type="character" w:customStyle="1" w:styleId="HeaderChar">
    <w:name w:val="Header Char"/>
    <w:basedOn w:val="DefaultParagraphFont"/>
    <w:link w:val="Header"/>
    <w:uiPriority w:val="99"/>
    <w:rsid w:val="009B2A08"/>
  </w:style>
  <w:style w:type="paragraph" w:styleId="Footer">
    <w:name w:val="footer"/>
    <w:basedOn w:val="Normal"/>
    <w:link w:val="FooterChar"/>
    <w:uiPriority w:val="99"/>
    <w:unhideWhenUsed/>
    <w:rsid w:val="009B2A08"/>
    <w:pPr>
      <w:tabs>
        <w:tab w:val="center" w:pos="4153"/>
        <w:tab w:val="right" w:pos="8306"/>
      </w:tabs>
      <w:spacing w:after="0" w:line="240" w:lineRule="auto"/>
    </w:pPr>
  </w:style>
  <w:style w:type="character" w:customStyle="1" w:styleId="FooterChar">
    <w:name w:val="Footer Char"/>
    <w:basedOn w:val="DefaultParagraphFont"/>
    <w:link w:val="Footer"/>
    <w:uiPriority w:val="99"/>
    <w:rsid w:val="009B2A08"/>
  </w:style>
  <w:style w:type="paragraph" w:styleId="FootnoteText">
    <w:name w:val="footnote text"/>
    <w:basedOn w:val="Normal"/>
    <w:link w:val="FootnoteTextChar"/>
    <w:uiPriority w:val="99"/>
    <w:semiHidden/>
    <w:unhideWhenUsed/>
    <w:rsid w:val="00B355A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355AE"/>
    <w:rPr>
      <w:sz w:val="20"/>
      <w:szCs w:val="20"/>
    </w:rPr>
  </w:style>
  <w:style w:type="character" w:styleId="FootnoteReference">
    <w:name w:val="footnote reference"/>
    <w:basedOn w:val="DefaultParagraphFont"/>
    <w:uiPriority w:val="99"/>
    <w:semiHidden/>
    <w:unhideWhenUsed/>
    <w:rsid w:val="00B355AE"/>
    <w:rPr>
      <w:vertAlign w:val="superscript"/>
    </w:rPr>
  </w:style>
  <w:style w:type="paragraph" w:styleId="BalloonText">
    <w:name w:val="Balloon Text"/>
    <w:basedOn w:val="Normal"/>
    <w:link w:val="BalloonTextChar"/>
    <w:uiPriority w:val="99"/>
    <w:semiHidden/>
    <w:unhideWhenUsed/>
    <w:rsid w:val="00F150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5050"/>
    <w:rPr>
      <w:rFonts w:ascii="Tahoma" w:hAnsi="Tahoma" w:cs="Tahoma"/>
      <w:sz w:val="16"/>
      <w:szCs w:val="16"/>
    </w:rPr>
  </w:style>
  <w:style w:type="character" w:customStyle="1" w:styleId="Heading2Char">
    <w:name w:val="Heading 2 Char"/>
    <w:basedOn w:val="DefaultParagraphFont"/>
    <w:link w:val="Heading2"/>
    <w:uiPriority w:val="9"/>
    <w:rsid w:val="009D78E7"/>
    <w:rPr>
      <w:rFonts w:asciiTheme="majorHAnsi" w:eastAsiaTheme="majorEastAsia" w:hAnsiTheme="majorHAnsi" w:cs="David"/>
      <w:b/>
      <w:bCs/>
      <w:sz w:val="26"/>
      <w:szCs w:val="32"/>
      <w:u w:val="single"/>
    </w:rPr>
  </w:style>
  <w:style w:type="character" w:customStyle="1" w:styleId="Heading1Char">
    <w:name w:val="Heading 1 Char"/>
    <w:basedOn w:val="DefaultParagraphFont"/>
    <w:link w:val="Heading1"/>
    <w:uiPriority w:val="9"/>
    <w:rsid w:val="009D78E7"/>
    <w:rPr>
      <w:rFonts w:asciiTheme="majorHAnsi" w:eastAsiaTheme="majorEastAsia" w:hAnsiTheme="majorHAnsi" w:cs="David"/>
      <w:b/>
      <w:bCs/>
      <w:sz w:val="28"/>
      <w:szCs w:val="40"/>
      <w:u w:val="single"/>
    </w:rPr>
  </w:style>
  <w:style w:type="character" w:customStyle="1" w:styleId="Heading3Char">
    <w:name w:val="Heading 3 Char"/>
    <w:basedOn w:val="DefaultParagraphFont"/>
    <w:link w:val="Heading3"/>
    <w:uiPriority w:val="9"/>
    <w:rsid w:val="009D78E7"/>
    <w:rPr>
      <w:rFonts w:asciiTheme="majorHAnsi" w:eastAsiaTheme="majorEastAsia" w:hAnsiTheme="majorHAnsi" w:cs="David"/>
      <w:b/>
      <w:bCs/>
      <w:szCs w:val="28"/>
      <w:u w:val="single"/>
    </w:rPr>
  </w:style>
  <w:style w:type="character" w:styleId="CommentReference">
    <w:name w:val="annotation reference"/>
    <w:basedOn w:val="DefaultParagraphFont"/>
    <w:uiPriority w:val="99"/>
    <w:semiHidden/>
    <w:unhideWhenUsed/>
    <w:rsid w:val="003500A0"/>
    <w:rPr>
      <w:sz w:val="16"/>
      <w:szCs w:val="16"/>
    </w:rPr>
  </w:style>
  <w:style w:type="paragraph" w:styleId="CommentText">
    <w:name w:val="annotation text"/>
    <w:basedOn w:val="Normal"/>
    <w:link w:val="CommentTextChar"/>
    <w:uiPriority w:val="99"/>
    <w:semiHidden/>
    <w:unhideWhenUsed/>
    <w:rsid w:val="003500A0"/>
    <w:pPr>
      <w:spacing w:line="240" w:lineRule="auto"/>
    </w:pPr>
    <w:rPr>
      <w:sz w:val="20"/>
      <w:szCs w:val="20"/>
    </w:rPr>
  </w:style>
  <w:style w:type="character" w:customStyle="1" w:styleId="CommentTextChar">
    <w:name w:val="Comment Text Char"/>
    <w:basedOn w:val="DefaultParagraphFont"/>
    <w:link w:val="CommentText"/>
    <w:uiPriority w:val="99"/>
    <w:semiHidden/>
    <w:rsid w:val="003500A0"/>
    <w:rPr>
      <w:sz w:val="20"/>
      <w:szCs w:val="20"/>
    </w:rPr>
  </w:style>
  <w:style w:type="paragraph" w:styleId="CommentSubject">
    <w:name w:val="annotation subject"/>
    <w:basedOn w:val="CommentText"/>
    <w:next w:val="CommentText"/>
    <w:link w:val="CommentSubjectChar"/>
    <w:uiPriority w:val="99"/>
    <w:semiHidden/>
    <w:unhideWhenUsed/>
    <w:rsid w:val="003500A0"/>
    <w:rPr>
      <w:b/>
      <w:bCs/>
    </w:rPr>
  </w:style>
  <w:style w:type="character" w:customStyle="1" w:styleId="CommentSubjectChar">
    <w:name w:val="Comment Subject Char"/>
    <w:basedOn w:val="CommentTextChar"/>
    <w:link w:val="CommentSubject"/>
    <w:uiPriority w:val="99"/>
    <w:semiHidden/>
    <w:rsid w:val="003500A0"/>
    <w:rPr>
      <w:b/>
      <w:bCs/>
      <w:sz w:val="20"/>
      <w:szCs w:val="20"/>
    </w:rPr>
  </w:style>
  <w:style w:type="character" w:customStyle="1" w:styleId="default">
    <w:name w:val="default"/>
    <w:basedOn w:val="DefaultParagraphFont"/>
    <w:rsid w:val="007540EB"/>
    <w:rPr>
      <w:rFonts w:ascii="Times New Roman" w:hAnsi="Times New Roman" w:cs="Times New Roman"/>
      <w:sz w:val="26"/>
      <w:szCs w:val="26"/>
    </w:rPr>
  </w:style>
  <w:style w:type="paragraph" w:customStyle="1" w:styleId="P22">
    <w:name w:val="P22"/>
    <w:basedOn w:val="Normal"/>
    <w:rsid w:val="00F04969"/>
    <w:pPr>
      <w:widowControl w:val="0"/>
      <w:tabs>
        <w:tab w:val="left" w:pos="1474"/>
        <w:tab w:val="left" w:pos="1928"/>
        <w:tab w:val="left" w:pos="2381"/>
        <w:tab w:val="left" w:pos="2835"/>
        <w:tab w:val="right" w:leader="dot" w:pos="6259"/>
      </w:tabs>
      <w:suppressAutoHyphens/>
      <w:autoSpaceDE w:val="0"/>
      <w:autoSpaceDN w:val="0"/>
      <w:spacing w:before="60" w:after="0" w:line="240" w:lineRule="auto"/>
      <w:ind w:left="2835" w:right="1021"/>
      <w:jc w:val="both"/>
    </w:pPr>
    <w:rPr>
      <w:rFonts w:ascii="Times New Roman" w:eastAsia="Times New Roman" w:hAnsi="Times New Roman" w:cs="Times New Roman"/>
      <w:noProof/>
      <w:sz w:val="20"/>
      <w:szCs w:val="26"/>
      <w:lang w:eastAsia="he-IL"/>
    </w:rPr>
  </w:style>
  <w:style w:type="paragraph" w:styleId="Quote">
    <w:name w:val="Quote"/>
    <w:basedOn w:val="Normal"/>
    <w:next w:val="Normal"/>
    <w:link w:val="QuoteChar"/>
    <w:uiPriority w:val="29"/>
    <w:qFormat/>
    <w:rsid w:val="009557D4"/>
    <w:pPr>
      <w:spacing w:before="120" w:after="0" w:line="240" w:lineRule="auto"/>
      <w:ind w:left="567" w:right="567"/>
      <w:jc w:val="both"/>
    </w:pPr>
    <w:rPr>
      <w:rFonts w:cs="David"/>
      <w:b/>
      <w:bCs/>
      <w:sz w:val="24"/>
      <w:szCs w:val="24"/>
    </w:rPr>
  </w:style>
  <w:style w:type="character" w:customStyle="1" w:styleId="QuoteChar">
    <w:name w:val="Quote Char"/>
    <w:basedOn w:val="DefaultParagraphFont"/>
    <w:link w:val="Quote"/>
    <w:uiPriority w:val="29"/>
    <w:rsid w:val="009557D4"/>
    <w:rPr>
      <w:rFonts w:cs="David"/>
      <w:b/>
      <w:bCs/>
      <w:sz w:val="24"/>
      <w:szCs w:val="24"/>
    </w:rPr>
  </w:style>
  <w:style w:type="paragraph" w:customStyle="1" w:styleId="a">
    <w:name w:val="ציטוט באנגלית"/>
    <w:basedOn w:val="Quote"/>
    <w:qFormat/>
    <w:rsid w:val="009557D4"/>
    <w:pPr>
      <w:bidi w:val="0"/>
      <w:spacing w:before="240"/>
    </w:pPr>
    <w:rPr>
      <w:rFonts w:asciiTheme="majorBidi" w:hAnsiTheme="majorBidi" w:cstheme="majorBidi"/>
      <w:bCs w:val="0"/>
    </w:rPr>
  </w:style>
  <w:style w:type="paragraph" w:styleId="Revision">
    <w:name w:val="Revision"/>
    <w:hidden/>
    <w:uiPriority w:val="99"/>
    <w:semiHidden/>
    <w:rsid w:val="002B7963"/>
    <w:pPr>
      <w:spacing w:after="0" w:line="240" w:lineRule="auto"/>
    </w:pPr>
  </w:style>
  <w:style w:type="table" w:styleId="TableGrid">
    <w:name w:val="Table Grid"/>
    <w:basedOn w:val="TableNormal"/>
    <w:uiPriority w:val="59"/>
    <w:rsid w:val="00062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4546D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546D2"/>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6586042">
      <w:bodyDiv w:val="1"/>
      <w:marLeft w:val="0"/>
      <w:marRight w:val="0"/>
      <w:marTop w:val="0"/>
      <w:marBottom w:val="0"/>
      <w:divBdr>
        <w:top w:val="none" w:sz="0" w:space="0" w:color="auto"/>
        <w:left w:val="none" w:sz="0" w:space="0" w:color="auto"/>
        <w:bottom w:val="none" w:sz="0" w:space="0" w:color="auto"/>
        <w:right w:val="none" w:sz="0" w:space="0" w:color="auto"/>
      </w:divBdr>
    </w:div>
    <w:div w:id="182334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3.png@01CE8612.6B34F89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1F5A2-C14B-43A3-A777-EE2333329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13</Pages>
  <Words>3481</Words>
  <Characters>17409</Characters>
  <Application>Microsoft Office Word</Application>
  <DocSecurity>4</DocSecurity>
  <Lines>145</Lines>
  <Paragraphs>41</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
      <vt:lpstr/>
    </vt:vector>
  </TitlesOfParts>
  <Company>Rashut_doamin</Company>
  <LinksUpToDate>false</LinksUpToDate>
  <CharactersWithSpaces>20849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Asher Goshen</dc:creator>
  <cp:lastModifiedBy>Melita Shafir</cp:lastModifiedBy>
  <cp:revision>2</cp:revision>
  <cp:lastPrinted>2018-11-05T14:48:00Z</cp:lastPrinted>
  <dcterms:created xsi:type="dcterms:W3CDTF">2018-11-08T12:16:00Z</dcterms:created>
  <dcterms:modified xsi:type="dcterms:W3CDTF">2018-11-08T12:16:00Z</dcterms:modified>
</cp:coreProperties>
</file>